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17.3.0.0 -->
  <w:body>
    <w:p w:rsidR="00A77B3E">
      <w:pPr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0050.1.173.2020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Burmistrza Szubina</w:t>
      </w:r>
    </w:p>
    <w:p w:rsidR="00A77B3E">
      <w:pPr>
        <w:spacing w:before="280" w:after="280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29 września 2020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ustalenia numerów porządkowych budynków.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47a 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1, pkt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17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maja 1989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- Prawo geodezyjne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kartograficzne (Dz.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276 ze zm.),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związku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marca 1990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samorządzie gminnym (Dz.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713), zarządza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 xml:space="preserve">Ustalić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26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(dwadzieścia sześć) dla nieruchomości zabudowanej (budynek istniejący, nr ewid. 1438) oznaczonej ewidencyjnie jako działka numer: 549/60,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Rynarzewie, przy ulicy Jaśminowej.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Ustalić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 (trzy) dla nieruchomości zabudowanej (budynek istniejący, nr ewid. 1502), oznaczonej ewidencyjnie jako działka numer: 454/6,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Rynarzewie, przy ulicy Noteckiej.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Ustalić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7F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(siedem litera: "F") dla nieruchomości zabudowanej (budynek istniejący, nr ewid. 288), oznaczonej ewidencyjnie jako działka numer: 423/6,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Szkocji, przy ulicy Poziomkowej.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Ustalić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10A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(dziesięć litera: "A") dla nieruchomości zabudowanej (budynek istniejący, nr ewid. 4096), oznaczonej ewidencyjnie jako działka numer: 1473/3,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Szubinie, przy ulicy Nakielskiej.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Wykonanie zarządzenia powierzyć Dyrektorowi Wydziału Gospodarki Przestrzennej Urzędu Miejskiego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Szubinie.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Zarządzenie wchodzi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życie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dniem podpisania.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keepNext/>
              <w:keepLines/>
              <w:spacing w:before="560" w:after="560"/>
              <w:ind w:left="1134" w:right="1134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Burmistrz Szubina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Mariusz Piotrkowski</w:t>
            </w:r>
          </w:p>
        </w:tc>
      </w:tr>
    </w:tbl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sectPr>
      <w:footerReference w:type="default" r:id="rId4"/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styles" Target="styles.xml" 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Szubina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0050.1.173.2020 z dnia 29 września 2020 r.</dc:title>
  <dc:subject>w sprawie ustalenia numerów porządkowych budynków.</dc:subject>
  <dc:creator>RenataK</dc:creator>
  <cp:lastModifiedBy>RenataK</cp:lastModifiedBy>
  <cp:revision>1</cp:revision>
  <dcterms:created xsi:type="dcterms:W3CDTF">2020-09-29T13:41:52Z</dcterms:created>
  <dcterms:modified xsi:type="dcterms:W3CDTF">2020-09-29T13:41:52Z</dcterms:modified>
  <cp:category>Akt prawny</cp:category>
</cp:coreProperties>
</file>