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0050.1.178.2020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276 ze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52B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(pięćdziesiąt dwa litera: "B") dla nieruchomości zabudowanej (budynek w trakcie budowy, nr ewid. 275) oznaczonej ewidencyjnie jako działka numer: 4/14,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Łachowie.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(dziesięć) dla nieruchomości zabudowanej (budynek istniejący, nr ewid. 1479), oznaczonej ewidencyjnie jako działka numer: 568/43,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Bluszczowej.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 litera: "A") dla nieruchomości niezabudowanej (budynek prognozowany, nr ewid. 39), oznaczonej ewidencyjnie jako działka numer: 36/6,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Zazdrości.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0050.1.178.2020 z dnia 2 października 2020 r.</dc:title>
  <dc:subject>w sprawie ustalenia numerów porządkowych budynków.</dc:subject>
  <dc:creator>RenataK</dc:creator>
  <cp:lastModifiedBy>RenataK</cp:lastModifiedBy>
  <cp:revision>1</cp:revision>
  <dcterms:created xsi:type="dcterms:W3CDTF">2020-10-02T08:56:23Z</dcterms:created>
  <dcterms:modified xsi:type="dcterms:W3CDTF">2020-10-02T08:56:23Z</dcterms:modified>
  <cp:category>Akt prawny</cp:category>
</cp:coreProperties>
</file>