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(dziewiętnaście) dla nieruchomości niezabudowanej (budynek prognozowany, nr ewid. 349) oznaczonej ewidencyjnie jako działka numer: 5/11,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4333), oznaczonej ewidencyjnie jako działka numer: 258/42,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Dalekiej.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(siedem) dla nieruchomości zabudowanej (budynek istniejący, nr ewid. 532), oznaczonej ewidencyjnie jako działka numer: 40/18, położonej w Kowalewie,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0050.1.11.2021 z dnia 26 stycznia 2021 r.</dc:title>
  <dc:subject>w sprawie ustalenia numerów porządkowych budynków.</dc:subject>
  <dc:creator>RenataK</dc:creator>
  <cp:lastModifiedBy>RenataK</cp:lastModifiedBy>
  <cp:revision>1</cp:revision>
  <dcterms:created xsi:type="dcterms:W3CDTF">2021-01-27T08:12:51Z</dcterms:created>
  <dcterms:modified xsi:type="dcterms:W3CDTF">2021-01-27T08:12:51Z</dcterms:modified>
  <cp:category>Akt prawny</cp:category>
</cp:coreProperties>
</file>