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1990, 2020, 11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0050.1.36.2021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4"/>
        <w:gridCol w:w="1117"/>
        <w:gridCol w:w="1102"/>
        <w:gridCol w:w="735"/>
        <w:gridCol w:w="1631"/>
        <w:gridCol w:w="1323"/>
        <w:gridCol w:w="1117"/>
        <w:gridCol w:w="1161"/>
        <w:gridCol w:w="11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1639/8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BY1U/00020618/6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01.05.2021- 31.12.2022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26,00 zł/ m-c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do 15-go każdego   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działki przeznaczonej pod tymczasową lokalizację garażu blaszanego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pod tymczasową lokalizację garażu blaszanego ustalono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Wykaz nieruchomości przeznaczonej do dzierżawy podaje się do publicznej wiadomości, stosownie do art. 35 ust. 1 ustawy o gospodarce nieruchomościami (Dz. U. z 2020 r. poz. 1990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44B597D6-52F5-480B-B409-60BB29492B48.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44B597D6-52F5-480B-B409-60BB29492B48.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44B597D6-52F5-480B-B409-60BB29492B48.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0050.1.36.2021 z dnia 2 kwietnia 2021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2021-04-02T07:56:32Z</dcterms:created>
  <dcterms:modified xsi:type="dcterms:W3CDTF">2021-04-02T07:56:32Z</dcterms:modified>
  <cp:category>Akt prawny</cp:category>
</cp:coreProperties>
</file>