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z w:val="22"/>
          <w:vertAlign w:val="baseline"/>
        </w:rPr>
        <w:t>w sprawie ustalenia stawek czynszu za 1m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czerwca 2001r.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ochronie praw lokatorów, mieszkaniowym zasobie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o zmianie Kodeksu cywilnego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2020r.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611)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Ustala się stawki czynszu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5,64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lokali wyposażonych w: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centralne ogrzewanie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zewnętrznego źródła ciepła,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instalację doprowadzającą wodę,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instalację odprowadzającą ścieki,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wc,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łazienkę.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5,36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posiadających jednego spośród czynników obniżających ich wartość użytkowa,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5,08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posiadających dwóch spośród czynników obniżających ich wartość użytkowa,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4,79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posiadających trzech spośród czynników obniżających ich wartość użytkowa,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4,51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posiadających czterech spośród czynników obniżających ich wartość użytkowa,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4,23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posiadających pięciu spośród czynników obniżających ich wartość użytkowa,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7,34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dla lokali podnajmowanych przez Gminę.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0050.1.88.2020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stawek czynszu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Podwyżka stawek czynszu za najem lub podnajem lokali mieszkalnych dokonywana jest w oparciu o zapisy uchwały Rady Miejskiej w Szubinie z dnia 25 maja 2021r. w sprawie wieloletniego programu gospodarowania mieszkaniowym zasobem Gminy Szubin na lata 2021 - 2025.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Określone w/w uchwałą zasady polityki czynszowej przewidują, że zmiana stawek czynszu następować będzie wraz ze wzrostem średniorocznego wskaźnika cen towarów i usług konsumpcyjnych ogółem, od dnia 1 października danego roku, w oparciu o wzrost cen w roku poprzednim.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Średnioroczny wskaźnik cen towarów i usług konsumpcyjnych ogółem w 2020r. w stosunku do 2019r. wyniósł 103,4 (wzrost o 3,4%).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W powyższym stanie rzeczy, wydanie niniejszego zarządzenia jest w pełni uzasadnione</w:t>
      </w:r>
      <w:r>
        <w:rPr>
          <w:szCs w:val="20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DFB5515C-2854-44A8-9304-6AA7CEC09E13.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DFB5515C-2854-44A8-9304-6AA7CEC09E13.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0050.1.74.2021 z dnia 17 czerwca 2021 r.</dc:title>
  <dc:subject>w sprawie ustalenia stawek czynszu za 1m2 powierzchni użytkowej lokali mieszkalnych wchodzących w skład mieszkaniowego zasobu Gminy Szubin oraz lokali podnajmowanych przez Gminę Szubin.</dc:subject>
  <dc:creator>RenataK</dc:creator>
  <cp:lastModifiedBy>RenataK</cp:lastModifiedBy>
  <cp:revision>1</cp:revision>
  <dcterms:created xsi:type="dcterms:W3CDTF">2021-06-18T12:41:21Z</dcterms:created>
  <dcterms:modified xsi:type="dcterms:W3CDTF">2021-06-18T12:41:21Z</dcterms:modified>
  <cp:category>Akt prawny</cp:category>
</cp:coreProperties>
</file>