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20.12.0 -->
  <w:body>
    <w:p w:rsidR="00A77B3E">
      <w:pPr>
        <w:spacing w:line="240" w:lineRule="auto"/>
        <w:ind w:left="0"/>
        <w:jc w:val="center"/>
        <w:rPr>
          <w:rFonts w:ascii="Times New Roman" w:eastAsia="Times New Roman" w:hAnsi="Times New Roman" w:cs="Times New Roman"/>
          <w:b/>
          <w:caps/>
          <w:sz w:val="22"/>
        </w:rPr>
      </w:pPr>
      <w:r>
        <w:rPr>
          <w:rFonts w:ascii="Times New Roman" w:eastAsia="Times New Roman" w:hAnsi="Times New Roman" w:cs="Times New Roman"/>
          <w:b/>
          <w:caps/>
          <w:sz w:val="22"/>
        </w:rPr>
        <w:t>Zarządzenie</w:t>
      </w:r>
      <w:r>
        <w:rPr>
          <w:rFonts w:ascii="Times New Roman" w:eastAsia="Times New Roman" w:hAnsi="Times New Roman" w:cs="Times New Roman"/>
          <w:b/>
          <w:caps/>
          <w:sz w:val="22"/>
        </w:rPr>
        <w:t xml:space="preserve"> Nr 0050.1.86.2021</w:t>
      </w:r>
      <w:r>
        <w:rPr>
          <w:rFonts w:ascii="Times New Roman" w:eastAsia="Times New Roman" w:hAnsi="Times New Roman" w:cs="Times New Roman"/>
          <w:b/>
          <w:caps/>
          <w:sz w:val="22"/>
        </w:rPr>
        <w:br/>
      </w:r>
      <w:r>
        <w:rPr>
          <w:rFonts w:ascii="Times New Roman" w:eastAsia="Times New Roman" w:hAnsi="Times New Roman" w:cs="Times New Roman"/>
          <w:b/>
          <w:caps/>
          <w:sz w:val="22"/>
        </w:rPr>
        <w:t>Burmistrza Szubina</w:t>
      </w:r>
    </w:p>
    <w:p w:rsidR="00A77B3E">
      <w:pPr>
        <w:spacing w:before="280" w:after="280" w:line="240" w:lineRule="auto"/>
        <w:ind w:left="0"/>
        <w:jc w:val="center"/>
        <w:rPr>
          <w:rFonts w:ascii="Times New Roman" w:eastAsia="Times New Roman" w:hAnsi="Times New Roman" w:cs="Times New Roman"/>
          <w:b/>
          <w:caps/>
          <w:sz w:val="22"/>
        </w:rPr>
      </w:pPr>
      <w:r>
        <w:rPr>
          <w:rFonts w:ascii="Times New Roman" w:eastAsia="Times New Roman" w:hAnsi="Times New Roman" w:cs="Times New Roman"/>
          <w:b w:val="0"/>
          <w:caps w:val="0"/>
          <w:sz w:val="22"/>
        </w:rPr>
        <w:t>z dnia 30 lipca 2021 r.</w:t>
      </w:r>
    </w:p>
    <w:p w:rsidR="00A77B3E">
      <w:pPr>
        <w:keepNext/>
        <w:spacing w:before="0" w:after="480" w:line="240" w:lineRule="auto"/>
        <w:ind w:left="0" w:right="0" w:firstLine="0"/>
        <w:jc w:val="center"/>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caps w:val="0"/>
          <w:sz w:val="22"/>
        </w:rPr>
        <w:t>w sprawie powołania komisji przetargowej  do przeprowadzenia postępowania o udzielenie zamówienia  w trybie przetargu nieograniczonego na odbieranie odpadów komunalnych od właścicieli nieruchomości, na których zamieszkują mieszkańcy, zlokalizowanych na terenie Gminy Szubin oraz ich zagospodarowanie w okresie 01.01.2022 - 31.12.2025.</w:t>
      </w:r>
    </w:p>
    <w:p w:rsidR="00A77B3E">
      <w:pPr>
        <w:keepNext w:val="0"/>
        <w:keepLines/>
        <w:spacing w:before="120" w:after="120" w:line="240" w:lineRule="auto"/>
        <w:ind w:left="0" w:right="0" w:firstLine="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val="0"/>
          <w:caps w:val="0"/>
          <w:strike w:val="0"/>
          <w:color w:val="auto"/>
          <w:sz w:val="22"/>
          <w:u w:val="none"/>
        </w:rPr>
        <w:t>Na podstawie 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33</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i 3</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ustawy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dnia 8</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marca 1990</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samorządzie gminnym (Dz.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z 2021</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1372)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związku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53</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 oraz 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54</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i</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55</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ustawy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dnia 11</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września 2019</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Prawo zamówień publicznych (Dz.U.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2021</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1129) zarządza się, co następuje:</w:t>
      </w:r>
    </w:p>
    <w:p w:rsidR="00A77B3E">
      <w:pPr>
        <w:keepNext w:val="0"/>
        <w:keepLines/>
        <w:spacing w:before="120" w:after="120" w:line="240" w:lineRule="auto"/>
        <w:ind w:left="0" w:right="0" w:firstLine="340"/>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sz w:val="22"/>
        </w:rPr>
        <w:t>§ 1. </w:t>
      </w:r>
      <w:r>
        <w:rPr>
          <w:rFonts w:ascii="Times New Roman" w:eastAsia="Times New Roman" w:hAnsi="Times New Roman" w:cs="Times New Roman"/>
          <w:b w:val="0"/>
          <w:caps w:val="0"/>
          <w:strike w:val="0"/>
          <w:color w:val="auto"/>
          <w:sz w:val="22"/>
          <w:u w:val="none"/>
        </w:rPr>
        <w:t>Powołuje się komisję przetargową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celu przeprowadzenia postępowania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zamówienie publiczne i</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udzielenia zamówienia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trybie przetargu nieograniczonego na  odbieranie odpadów komunalnych od właścicieli nieruchomości, na których zamieszkują mieszkańcy, zlokalizowanych na terenie Gminy Szubin oraz ich zagospodarowanie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okresie 01.01.2022 - 31.12.2025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następującym składzie osobowym:</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1) </w:t>
      </w:r>
      <w:r>
        <w:rPr>
          <w:rFonts w:ascii="Times New Roman" w:eastAsia="Times New Roman" w:hAnsi="Times New Roman" w:cs="Times New Roman"/>
          <w:b w:val="0"/>
          <w:caps w:val="0"/>
          <w:strike w:val="0"/>
          <w:color w:val="auto"/>
          <w:sz w:val="22"/>
          <w:u w:val="none"/>
        </w:rPr>
        <w:t>Iwona Kubiak - przewodniczący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2) </w:t>
      </w:r>
      <w:r>
        <w:rPr>
          <w:rFonts w:ascii="Times New Roman" w:eastAsia="Times New Roman" w:hAnsi="Times New Roman" w:cs="Times New Roman"/>
          <w:b w:val="0"/>
          <w:caps w:val="0"/>
          <w:strike w:val="0"/>
          <w:color w:val="auto"/>
          <w:sz w:val="22"/>
          <w:u w:val="none"/>
        </w:rPr>
        <w:t>Alicja Hoffmann  - zastępca przewodniczącego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3) </w:t>
      </w:r>
      <w:r>
        <w:rPr>
          <w:rFonts w:ascii="Times New Roman" w:eastAsia="Times New Roman" w:hAnsi="Times New Roman" w:cs="Times New Roman"/>
          <w:b w:val="0"/>
          <w:caps w:val="0"/>
          <w:strike w:val="0"/>
          <w:color w:val="auto"/>
          <w:sz w:val="22"/>
          <w:u w:val="none"/>
        </w:rPr>
        <w:t>Julita Zakrzewska - członek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4) </w:t>
      </w:r>
      <w:r>
        <w:rPr>
          <w:rFonts w:ascii="Times New Roman" w:eastAsia="Times New Roman" w:hAnsi="Times New Roman" w:cs="Times New Roman"/>
          <w:b w:val="0"/>
          <w:caps w:val="0"/>
          <w:strike w:val="0"/>
          <w:color w:val="auto"/>
          <w:sz w:val="22"/>
          <w:u w:val="none"/>
        </w:rPr>
        <w:t>Magdalena Zygowska - sekretarz komisji.</w:t>
      </w:r>
    </w:p>
    <w:p w:rsidR="00A77B3E">
      <w:pPr>
        <w:keepNext w:val="0"/>
        <w:keepLines/>
        <w:spacing w:before="120" w:after="120" w:line="240" w:lineRule="auto"/>
        <w:ind w:left="0" w:right="0" w:firstLine="340"/>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sz w:val="22"/>
        </w:rPr>
        <w:t>§ 2. </w:t>
      </w:r>
      <w:r>
        <w:rPr>
          <w:rFonts w:ascii="Times New Roman" w:eastAsia="Times New Roman" w:hAnsi="Times New Roman" w:cs="Times New Roman"/>
          <w:b w:val="0"/>
          <w:caps w:val="0"/>
          <w:strike w:val="0"/>
          <w:color w:val="auto"/>
          <w:sz w:val="22"/>
          <w:u w:val="none"/>
        </w:rPr>
        <w:t>Zadaniem komisji przetargowej jest przygotowanie i</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przeprowadzenie postępowania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udzielenie zamówienia publicznego,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szczególności dokonanie oceny spełniania przez wykonawców warunków udziału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postępowaniu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udzielenie zamówienia, ocena ofert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oparciu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ustalone kryteria oceny oraz propozycja wyboru oferty najkorzystniejszej.</w:t>
      </w:r>
    </w:p>
    <w:p w:rsidR="00A77B3E">
      <w:pPr>
        <w:keepNext w:val="0"/>
        <w:keepLines/>
        <w:spacing w:before="120" w:after="120" w:line="240" w:lineRule="auto"/>
        <w:ind w:left="0" w:right="0" w:firstLine="340"/>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sz w:val="22"/>
        </w:rPr>
        <w:t>§ 3. </w:t>
      </w:r>
      <w:r>
        <w:rPr>
          <w:rFonts w:ascii="Times New Roman" w:eastAsia="Times New Roman" w:hAnsi="Times New Roman" w:cs="Times New Roman"/>
          <w:b w:val="0"/>
          <w:caps w:val="0"/>
          <w:strike w:val="0"/>
          <w:color w:val="auto"/>
          <w:sz w:val="22"/>
          <w:u w:val="none"/>
        </w:rPr>
        <w:t>Nadaje się regulamin pracy komisji przetargowej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brzmieniu, jak niżej:</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1) </w:t>
      </w:r>
      <w:r>
        <w:rPr>
          <w:rFonts w:ascii="Times New Roman" w:eastAsia="Times New Roman" w:hAnsi="Times New Roman" w:cs="Times New Roman"/>
          <w:b w:val="0"/>
          <w:caps w:val="0"/>
          <w:strike w:val="0"/>
          <w:color w:val="auto"/>
          <w:sz w:val="22"/>
          <w:u w:val="none"/>
        </w:rPr>
        <w:t>Pracami komisji kieruje przewodniczący komisji a</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w przypadku jego nieobecności zastępca przewodniczącego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2) </w:t>
      </w:r>
      <w:r>
        <w:rPr>
          <w:rFonts w:ascii="Times New Roman" w:eastAsia="Times New Roman" w:hAnsi="Times New Roman" w:cs="Times New Roman"/>
          <w:b w:val="0"/>
          <w:caps w:val="0"/>
          <w:strike w:val="0"/>
          <w:color w:val="auto"/>
          <w:sz w:val="22"/>
          <w:u w:val="none"/>
        </w:rPr>
        <w:t>Dokumentację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postępowania prowadzi sekretarz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3) </w:t>
      </w:r>
      <w:r>
        <w:rPr>
          <w:rFonts w:ascii="Times New Roman" w:eastAsia="Times New Roman" w:hAnsi="Times New Roman" w:cs="Times New Roman"/>
          <w:b w:val="0"/>
          <w:caps w:val="0"/>
          <w:strike w:val="0"/>
          <w:color w:val="auto"/>
          <w:sz w:val="22"/>
          <w:u w:val="none"/>
        </w:rPr>
        <w:t>W zakresie przygotowania postępowania komisja przygotowuje specyfikację warunków zamówienia, wraz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załącznikami,</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4) </w:t>
      </w:r>
      <w:r>
        <w:rPr>
          <w:rFonts w:ascii="Times New Roman" w:eastAsia="Times New Roman" w:hAnsi="Times New Roman" w:cs="Times New Roman"/>
          <w:b w:val="0"/>
          <w:caps w:val="0"/>
          <w:strike w:val="0"/>
          <w:color w:val="auto"/>
          <w:sz w:val="22"/>
          <w:u w:val="none"/>
        </w:rPr>
        <w:t>W zakresie przeprowadzenia postępowania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udzielenie zamówienia publicznego komisja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szczególności udziela wyjaśnień dotyczących treści specyfikacji warunków zamówienia, dokonuje otwarcia ofert, ocenia spełnianie warunków stawianych wykonawcom, przedstawia kierownikowi zamawiającego propozycję wykluczenia wykonawcy, odrzucenia ofert oraz wyboru najkorzystniejszej oferty, a</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także występuje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wnioskiem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unieważnienie postępowania,</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5) </w:t>
      </w:r>
      <w:r>
        <w:rPr>
          <w:rFonts w:ascii="Times New Roman" w:eastAsia="Times New Roman" w:hAnsi="Times New Roman" w:cs="Times New Roman"/>
          <w:b w:val="0"/>
          <w:caps w:val="0"/>
          <w:strike w:val="0"/>
          <w:color w:val="auto"/>
          <w:sz w:val="22"/>
          <w:u w:val="none"/>
        </w:rPr>
        <w:t>Komisja podejmuje kolegialnie swoje decyzje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głosowaniu jawnym, zwykłą większością głosów,</w:t>
      </w:r>
      <w:r>
        <w:rPr>
          <w:rFonts w:ascii="Times New Roman" w:eastAsia="Times New Roman" w:hAnsi="Times New Roman" w:cs="Times New Roman"/>
          <w:b w:val="0"/>
          <w:caps w:val="0"/>
          <w:strike w:val="0"/>
          <w:color w:val="auto"/>
          <w:sz w:val="22"/>
          <w:u w:val="none"/>
        </w:rPr>
        <w:br/>
      </w:r>
      <w:r>
        <w:rPr>
          <w:rFonts w:ascii="Times New Roman" w:eastAsia="Times New Roman" w:hAnsi="Times New Roman" w:cs="Times New Roman"/>
          <w:b w:val="0"/>
          <w:caps w:val="0"/>
          <w:strike w:val="0"/>
          <w:color w:val="auto"/>
          <w:sz w:val="22"/>
          <w:u w:val="none"/>
        </w:rPr>
        <w:t>a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przypadkach spornych głos decydujący ma przewodniczący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6) </w:t>
      </w:r>
      <w:r>
        <w:rPr>
          <w:rFonts w:ascii="Times New Roman" w:eastAsia="Times New Roman" w:hAnsi="Times New Roman" w:cs="Times New Roman"/>
          <w:b w:val="0"/>
          <w:caps w:val="0"/>
          <w:strike w:val="0"/>
          <w:color w:val="auto"/>
          <w:sz w:val="22"/>
          <w:u w:val="none"/>
        </w:rPr>
        <w:t>Komisja przetargowa kończy pracę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postępowaniu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udzielenie zamówienia publicznego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dniem zawarcia umowy albo unieważnieniem postępowania.</w:t>
      </w:r>
    </w:p>
    <w:p w:rsidR="00A77B3E">
      <w:pPr>
        <w:keepNext/>
        <w:keepLines/>
        <w:spacing w:before="120" w:after="120" w:line="240" w:lineRule="auto"/>
        <w:ind w:left="0" w:right="0" w:firstLine="340"/>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sz w:val="22"/>
        </w:rPr>
        <w:t>§ 4. </w:t>
      </w:r>
      <w:r>
        <w:rPr>
          <w:rFonts w:ascii="Times New Roman" w:eastAsia="Times New Roman" w:hAnsi="Times New Roman" w:cs="Times New Roman"/>
          <w:b w:val="0"/>
          <w:caps w:val="0"/>
          <w:strike w:val="0"/>
          <w:color w:val="auto"/>
          <w:sz w:val="22"/>
          <w:u w:val="none"/>
        </w:rPr>
        <w:t>Zarządzenie wchodzi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życie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dniem podpisania.</w:t>
      </w:r>
    </w:p>
    <w:p w:rsidR="00A77B3E">
      <w:pPr>
        <w:keepNext/>
        <w:keepLines/>
        <w:spacing w:before="120" w:after="120" w:line="240" w:lineRule="auto"/>
        <w:ind w:left="0" w:right="0" w:firstLine="340"/>
        <w:jc w:val="both"/>
        <w:rPr>
          <w:rFonts w:ascii="Times New Roman" w:eastAsia="Times New Roman" w:hAnsi="Times New Roman" w:cs="Times New Roman"/>
          <w:b w:val="0"/>
          <w:caps w:val="0"/>
          <w:strike w:val="0"/>
          <w:color w:val="auto"/>
          <w:sz w:val="22"/>
          <w:u w:val="none"/>
        </w:rPr>
      </w:pPr>
    </w:p>
    <w:p w:rsidR="00A77B3E">
      <w:pPr>
        <w:keepNext/>
        <w:spacing w:before="0" w:after="0"/>
        <w:rPr>
          <w:rFonts w:ascii="Times New Roman" w:eastAsia="Times New Roman" w:hAnsi="Times New Roman" w:cs="Times New Roman"/>
          <w:b w:val="0"/>
          <w:i w:val="0"/>
          <w:caps w:val="0"/>
          <w:strike w:val="0"/>
          <w:color w:val="auto"/>
          <w:sz w:val="22"/>
          <w:u w:val="none"/>
          <w:vertAlign w:val="baseline"/>
        </w:rPr>
      </w:pPr>
      <w:r>
        <w:rPr>
          <w:b w:val="0"/>
          <w:i w:val="0"/>
          <w:color w:val="000000"/>
          <w:u w:val="none"/>
          <w:vertAlign w:val="baseline"/>
        </w:rPr>
        <w:t> </w:t>
      </w:r>
    </w:p>
    <w:tbl>
      <w:tblPr>
        <w:tblW w:w="5000" w:type="pct"/>
        <w:tblInd w:w="5" w:type="dxa"/>
        <w:tblCellMar>
          <w:top w:w="0" w:type="dxa"/>
          <w:left w:w="0" w:type="dxa"/>
          <w:bottom w:w="0" w:type="dxa"/>
          <w:right w:w="0" w:type="dxa"/>
        </w:tblCellMar>
      </w:tblPr>
      <w:tblGrid>
        <w:gridCol w:w="5100"/>
        <w:gridCol w:w="5100"/>
      </w:tblGrid>
      <w:tr>
        <w:tblPrEx>
          <w:tblW w:w="5000" w:type="pct"/>
          <w:tblInd w:w="5" w:type="dxa"/>
          <w:tblCellMar>
            <w:top w:w="0" w:type="dxa"/>
            <w:left w:w="0" w:type="dxa"/>
            <w:bottom w:w="0" w:type="dxa"/>
            <w:right w:w="0" w:type="dxa"/>
          </w:tblCellMar>
        </w:tblPrEx>
        <w:tc>
          <w:tcPr>
            <w:tcW w:w="2500" w:type="pct"/>
            <w:noWrap w:val="0"/>
            <w:tcMar>
              <w:top w:w="5" w:type="dxa"/>
              <w:left w:w="5" w:type="dxa"/>
              <w:bottom w:w="5" w:type="dxa"/>
              <w:right w:w="5" w:type="dxa"/>
            </w:tcMar>
            <w:vAlign w:val="top"/>
            <w:hideMark/>
          </w:tcPr>
          <w:p>
            <w:pPr>
              <w:keepNext/>
              <w:keepLines/>
              <w:jc w:val="left"/>
              <w:rPr>
                <w:rFonts w:ascii="Times New Roman" w:eastAsia="Times New Roman" w:hAnsi="Times New Roman" w:cs="Times New Roman"/>
                <w:b w:val="0"/>
                <w:bCs w:val="0"/>
                <w:i w:val="0"/>
                <w:iCs w:val="0"/>
                <w:smallCaps w:val="0"/>
                <w:color w:val="000000"/>
                <w:sz w:val="22"/>
                <w:szCs w:val="22"/>
              </w:rPr>
            </w:pPr>
          </w:p>
        </w:tc>
        <w:tc>
          <w:tcPr>
            <w:tcW w:w="2500" w:type="pct"/>
            <w:noWrap w:val="0"/>
            <w:tcMar>
              <w:top w:w="5" w:type="dxa"/>
              <w:left w:w="5" w:type="dxa"/>
              <w:bottom w:w="5" w:type="dxa"/>
              <w:right w:w="5" w:type="dxa"/>
            </w:tcMar>
            <w:vAlign w:val="top"/>
            <w:hideMark/>
          </w:tcPr>
          <w:p>
            <w:pPr>
              <w:keepNext/>
              <w:keepLines/>
              <w:spacing w:before="560" w:after="560"/>
              <w:ind w:left="1134" w:right="1134" w:firstLine="0"/>
              <w:jc w:val="center"/>
              <w:rPr>
                <w:rFonts w:ascii="Times New Roman" w:eastAsia="Times New Roman" w:hAnsi="Times New Roman" w:cs="Times New Roman"/>
                <w:b w:val="0"/>
                <w:bCs w:val="0"/>
                <w:i w:val="0"/>
                <w:iCs w:val="0"/>
                <w:smallCaps w:val="0"/>
                <w:color w:val="000000"/>
                <w:sz w:val="22"/>
                <w:szCs w:val="22"/>
              </w:rPr>
            </w:pPr>
            <w:r>
              <w:rPr>
                <w:rFonts w:ascii="Times New Roman" w:eastAsia="Times New Roman" w:hAnsi="Times New Roman" w:cs="Times New Roman"/>
                <w:b w:val="0"/>
                <w:bCs w:val="0"/>
                <w:i w:val="0"/>
                <w:iCs w:val="0"/>
                <w:smallCaps w:val="0"/>
                <w:color w:val="000000"/>
                <w:sz w:val="22"/>
                <w:szCs w:val="22"/>
              </w:rPr>
              <w:t>Burmistrz Szubina</w:t>
            </w:r>
            <w:r>
              <w:rPr>
                <w:rFonts w:ascii="Times New Roman" w:eastAsia="Times New Roman" w:hAnsi="Times New Roman" w:cs="Times New Roman"/>
                <w:b w:val="0"/>
                <w:bCs w:val="0"/>
                <w:i w:val="0"/>
                <w:iCs w:val="0"/>
                <w:smallCaps w:val="0"/>
                <w:color w:val="000000"/>
                <w:sz w:val="22"/>
                <w:szCs w:val="22"/>
              </w:rPr>
              <w:br/>
            </w:r>
            <w:r>
              <w:rPr>
                <w:rFonts w:ascii="Times New Roman" w:eastAsia="Times New Roman" w:hAnsi="Times New Roman" w:cs="Times New Roman"/>
                <w:b w:val="0"/>
                <w:bCs w:val="0"/>
                <w:i w:val="0"/>
                <w:iCs w:val="0"/>
                <w:smallCaps w:val="0"/>
                <w:color w:val="000000"/>
                <w:sz w:val="22"/>
                <w:szCs w:val="22"/>
              </w:rPr>
              <w:br/>
            </w:r>
            <w:r>
              <w:rPr>
                <w:rFonts w:ascii="Times New Roman" w:eastAsia="Times New Roman" w:hAnsi="Times New Roman" w:cs="Times New Roman"/>
                <w:b w:val="0"/>
                <w:bCs w:val="0"/>
                <w:i w:val="0"/>
                <w:iCs w:val="0"/>
                <w:smallCaps w:val="0"/>
                <w:color w:val="000000"/>
                <w:sz w:val="22"/>
                <w:szCs w:val="22"/>
              </w:rPr>
              <w:br/>
            </w:r>
            <w:r>
              <w:rPr>
                <w:b/>
                <w:i w:val="0"/>
              </w:rPr>
              <w:t>Mariusz Piotrkowski</w:t>
            </w:r>
          </w:p>
        </w:tc>
      </w:tr>
    </w:tbl>
    <w:p w:rsidR="00A77B3E">
      <w:pPr>
        <w:keepNext/>
        <w:spacing w:before="0" w:after="0"/>
        <w:rPr>
          <w:rFonts w:ascii="Times New Roman" w:eastAsia="Times New Roman" w:hAnsi="Times New Roman" w:cs="Times New Roman"/>
          <w:b w:val="0"/>
          <w:i w:val="0"/>
          <w:caps w:val="0"/>
          <w:strike w:val="0"/>
          <w:color w:val="auto"/>
          <w:sz w:val="22"/>
          <w:u w:val="none"/>
          <w:vertAlign w:val="baseline"/>
        </w:rPr>
        <w:sectPr>
          <w:footerReference w:type="default" r:id="rId4"/>
          <w:endnotePr>
            <w:numFmt w:val="decimal"/>
          </w:endnotePr>
          <w:pgSz w:w="11906" w:h="16838"/>
          <w:pgMar w:top="850" w:right="850" w:bottom="1417" w:left="850" w:header="708" w:footer="708" w:gutter="0"/>
          <w:cols w:space="708"/>
          <w:docGrid w:linePitch="360"/>
        </w:sectPr>
      </w:pPr>
    </w:p>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rPr>
          <w:color w:val="000000"/>
          <w:szCs w:val="20"/>
          <w:lang w:val="x-none" w:eastAsia="en-US" w:bidi="ar-SA"/>
        </w:rPr>
      </w:pPr>
    </w:p>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jc w:val="center"/>
        <w:rPr>
          <w:color w:val="000000"/>
          <w:szCs w:val="20"/>
          <w:lang w:val="x-none" w:eastAsia="en-US" w:bidi="ar-SA"/>
        </w:rPr>
      </w:pPr>
      <w:r>
        <w:rPr>
          <w:b/>
          <w:color w:val="000000"/>
          <w:szCs w:val="20"/>
          <w:lang w:val="x-none" w:eastAsia="en-US" w:bidi="ar-SA"/>
        </w:rPr>
        <w:t>Uzasadnienie</w:t>
      </w:r>
    </w:p>
    <w:p>
      <w:pPr>
        <w:keepNext w:val="0"/>
        <w:keepLines w:val="0"/>
        <w:widowControl/>
        <w:suppressLineNumbers w:val="0"/>
        <w:shd w:val="clear" w:color="auto" w:fill="auto"/>
        <w:suppressAutoHyphens w:val="0"/>
        <w:spacing w:before="120" w:beforeAutospacing="0" w:after="120" w:afterAutospacing="0" w:line="240" w:lineRule="auto"/>
        <w:ind w:left="283" w:right="0" w:firstLine="227"/>
        <w:contextualSpacing w:val="0"/>
        <w:rPr>
          <w:color w:val="000000"/>
          <w:szCs w:val="20"/>
          <w:lang w:val="x-none" w:eastAsia="en-US" w:bidi="ar-SA"/>
        </w:rPr>
      </w:pPr>
      <w:r>
        <w:rPr>
          <w:color w:val="000000"/>
          <w:szCs w:val="20"/>
          <w:lang w:val="x-none" w:eastAsia="en-US" w:bidi="ar-SA"/>
        </w:rPr>
        <w:t xml:space="preserve">Zgodnie z przepisami ustawy z dnia </w:t>
      </w:r>
      <w:r>
        <w:rPr>
          <w:color w:val="000000"/>
          <w:szCs w:val="20"/>
        </w:rPr>
        <w:t>11 września 2019 r</w:t>
      </w:r>
      <w:r>
        <w:rPr>
          <w:color w:val="000000"/>
          <w:szCs w:val="20"/>
          <w:lang w:val="x-none" w:eastAsia="en-US" w:bidi="ar-SA"/>
        </w:rPr>
        <w:t>. Prawo zamówień publicznych, postępowanie</w:t>
        <w:br/>
        <w:t>o udzielenie zamówienia publicznego przygotowuje i przeprowadza zamawiający. Do zadań kierownika zamawiającego - Burmistrza Szubina - należy powołanie komisji przetargowej, stanowiącej zespół pomocniczy kierownika zamawiającego, wykonującej czynności w postępowaniu w zakresie oceny</w:t>
      </w:r>
      <w:r>
        <w:rPr>
          <w:color w:val="000000"/>
          <w:szCs w:val="20"/>
        </w:rPr>
        <w:t xml:space="preserve"> </w:t>
      </w:r>
      <w:r>
        <w:rPr>
          <w:color w:val="000000"/>
          <w:szCs w:val="20"/>
          <w:lang w:val="x-none" w:eastAsia="en-US" w:bidi="ar-SA"/>
        </w:rPr>
        <w:t>spełniania przez wykonawców warunków udziału w postępowaniu</w:t>
      </w:r>
      <w:r>
        <w:rPr>
          <w:color w:val="000000"/>
          <w:szCs w:val="20"/>
        </w:rPr>
        <w:t xml:space="preserve">, braku podstaw wykluczenia </w:t>
      </w:r>
      <w:r>
        <w:rPr>
          <w:color w:val="000000"/>
          <w:szCs w:val="20"/>
          <w:lang w:val="x-none" w:eastAsia="en-US" w:bidi="ar-SA"/>
        </w:rPr>
        <w:t xml:space="preserve">oraz badania i oceny ofert. Członków komisji przetargowej powołuje i odwołuje kierownik zamawiającego, a skład komisji wynosi co najmniej trzy osoby. Kierownik zamawiającego określa organizację, skład, tryb pracy oraz zakres obowiązków członków komisji przetargowej, mając na celu zapewnienie sprawności jej działania, indywidualnej odpowiedzialności jej członków za wykonywanie czynności oraz przejrzystości </w:t>
      </w:r>
      <w:r>
        <w:rPr>
          <w:color w:val="000000"/>
          <w:szCs w:val="20"/>
        </w:rPr>
        <w:t xml:space="preserve">jej </w:t>
      </w:r>
      <w:r>
        <w:rPr>
          <w:color w:val="000000"/>
          <w:szCs w:val="20"/>
          <w:lang w:val="x-none" w:eastAsia="en-US" w:bidi="ar-SA"/>
        </w:rPr>
        <w:t>prac.</w:t>
      </w:r>
    </w:p>
    <w:tbl>
      <w:tblPr>
        <w:tblStyle w:val="TableSimple1"/>
        <w:tblW w:w="5000" w:type="pct"/>
        <w:tblInd w:w="283" w:type="dxa"/>
        <w:tblBorders>
          <w:top w:val="nil"/>
          <w:left w:val="nil"/>
          <w:bottom w:val="nil"/>
          <w:right w:val="nil"/>
        </w:tblBorders>
        <w:tblLook w:val="04A0"/>
      </w:tblPr>
      <w:tblGrid>
        <w:gridCol w:w="4962"/>
        <w:gridCol w:w="4962"/>
      </w:tblGrid>
      <w:tr>
        <w:tblPrEx>
          <w:tblW w:w="5000" w:type="pct"/>
          <w:tblInd w:w="283" w:type="dxa"/>
          <w:tblBorders>
            <w:top w:val="nil"/>
            <w:left w:val="nil"/>
            <w:bottom w:val="nil"/>
            <w:right w:val="nil"/>
          </w:tblBorders>
          <w:tblLook w:val="04A0"/>
        </w:tblPrEx>
        <w:tc>
          <w:tcPr>
            <w:tcW w:w="2500" w:type="pct"/>
            <w:tcBorders>
              <w:right w:val="nil"/>
            </w:tcBorders>
            <w:vAlign w:val="top"/>
          </w:tcPr>
          <w:p>
            <w:pPr>
              <w:keepNext w:val="0"/>
              <w:keepLines w:val="0"/>
              <w:widowControl/>
              <w:suppressLineNumbers w:val="0"/>
              <w:shd w:val="clear" w:color="auto" w:fill="auto"/>
              <w:suppressAutoHyphens w:val="0"/>
              <w:spacing w:before="120" w:beforeAutospacing="0" w:after="120" w:afterAutospacing="0" w:line="240" w:lineRule="auto"/>
              <w:ind w:left="0" w:right="0" w:firstLine="0"/>
              <w:contextualSpacing w:val="0"/>
              <w:rPr>
                <w:szCs w:val="20"/>
              </w:rPr>
            </w:pPr>
          </w:p>
        </w:tc>
        <w:tc>
          <w:tcPr>
            <w:tcW w:w="2500" w:type="pct"/>
            <w:tcBorders>
              <w:left w:val="nil"/>
            </w:tcBorders>
            <w:vAlign w:val="top"/>
          </w:tcPr>
          <w:p>
            <w:pPr>
              <w:keepNext w:val="0"/>
              <w:keepLines w:val="0"/>
              <w:widowControl/>
              <w:suppressLineNumbers w:val="0"/>
              <w:shd w:val="clear" w:color="auto" w:fill="auto"/>
              <w:suppressAutoHyphens w:val="0"/>
              <w:spacing w:before="120" w:beforeAutospacing="0" w:after="120" w:afterAutospacing="0" w:line="240" w:lineRule="auto"/>
              <w:ind w:left="0" w:right="0" w:firstLine="0"/>
              <w:contextualSpacing w:val="0"/>
              <w:jc w:val="center"/>
              <w:rPr>
                <w:szCs w:val="20"/>
              </w:rPr>
            </w:pPr>
            <w:r>
              <w:rPr>
                <w:szCs w:val="20"/>
              </w:rPr>
              <w:fldChar w:fldCharType="begin"/>
            </w:r>
            <w:r>
              <w:rPr>
                <w:szCs w:val="20"/>
              </w:rPr>
              <w:instrText>SIGNATURE_0_1_FUNCTION</w:instrText>
            </w:r>
            <w:r>
              <w:rPr>
                <w:szCs w:val="20"/>
              </w:rPr>
              <w:fldChar w:fldCharType="separate"/>
            </w:r>
            <w:r>
              <w:rPr>
                <w:szCs w:val="20"/>
              </w:rPr>
              <w:t>Burmistrz Szubina</w:t>
            </w:r>
            <w:r>
              <w:rPr>
                <w:szCs w:val="20"/>
              </w:rPr>
              <w:fldChar w:fldCharType="end"/>
            </w:r>
          </w:p>
          <w:p>
            <w:pPr>
              <w:keepNext w:val="0"/>
              <w:keepLines w:val="0"/>
              <w:widowControl/>
              <w:suppressLineNumbers w:val="0"/>
              <w:shd w:val="clear" w:color="auto" w:fill="auto"/>
              <w:suppressAutoHyphens w:val="0"/>
              <w:spacing w:before="120" w:beforeAutospacing="0" w:after="120" w:afterAutospacing="0" w:line="240" w:lineRule="auto"/>
              <w:ind w:left="0" w:right="0" w:firstLine="0"/>
              <w:contextualSpacing w:val="0"/>
              <w:jc w:val="center"/>
              <w:rPr>
                <w:szCs w:val="20"/>
              </w:rPr>
            </w:pPr>
            <w:r>
              <w:rPr>
                <w:szCs w:val="20"/>
              </w:rPr>
              <w:t xml:space="preserve"> </w:t>
            </w:r>
          </w:p>
          <w:p>
            <w:pPr>
              <w:keepNext w:val="0"/>
              <w:keepLines w:val="0"/>
              <w:widowControl/>
              <w:suppressLineNumbers w:val="0"/>
              <w:shd w:val="clear" w:color="auto" w:fill="auto"/>
              <w:suppressAutoHyphens w:val="0"/>
              <w:spacing w:before="120" w:beforeAutospacing="0" w:after="120" w:afterAutospacing="0" w:line="240" w:lineRule="auto"/>
              <w:ind w:left="0" w:right="0" w:firstLine="0"/>
              <w:contextualSpacing w:val="0"/>
              <w:jc w:val="center"/>
              <w:rPr>
                <w:szCs w:val="20"/>
              </w:rPr>
            </w:pPr>
            <w:r>
              <w:rPr>
                <w:szCs w:val="20"/>
              </w:rPr>
              <w:fldChar w:fldCharType="begin"/>
            </w:r>
            <w:r>
              <w:rPr>
                <w:szCs w:val="20"/>
              </w:rPr>
              <w:instrText>SIGNATURE_0_1_FIRSTNAME</w:instrText>
            </w:r>
            <w:r>
              <w:rPr>
                <w:szCs w:val="20"/>
              </w:rPr>
              <w:fldChar w:fldCharType="separate"/>
            </w:r>
            <w:r>
              <w:rPr>
                <w:b/>
                <w:szCs w:val="20"/>
              </w:rPr>
              <w:t xml:space="preserve">Mariusz </w:t>
            </w:r>
            <w:r>
              <w:rPr>
                <w:szCs w:val="20"/>
              </w:rPr>
              <w:fldChar w:fldCharType="end"/>
            </w:r>
            <w:r>
              <w:rPr>
                <w:szCs w:val="20"/>
              </w:rPr>
              <w:fldChar w:fldCharType="begin"/>
            </w:r>
            <w:r>
              <w:rPr>
                <w:szCs w:val="20"/>
              </w:rPr>
              <w:instrText>SIGNATURE_0_1_LASTNAME</w:instrText>
            </w:r>
            <w:r>
              <w:rPr>
                <w:szCs w:val="20"/>
              </w:rPr>
              <w:fldChar w:fldCharType="separate"/>
            </w:r>
            <w:r>
              <w:rPr>
                <w:b/>
                <w:szCs w:val="20"/>
              </w:rPr>
              <w:t>Piotrkowski</w:t>
            </w:r>
            <w:r>
              <w:rPr>
                <w:szCs w:val="20"/>
              </w:rPr>
              <w:fldChar w:fldCharType="end"/>
            </w:r>
          </w:p>
        </w:tc>
      </w:tr>
    </w:tbl>
    <w:p>
      <w:pPr>
        <w:keepNext w:val="0"/>
        <w:keepLines w:val="0"/>
        <w:widowControl/>
        <w:suppressLineNumbers w:val="0"/>
        <w:shd w:val="clear" w:color="auto" w:fill="auto"/>
        <w:suppressAutoHyphens w:val="0"/>
        <w:spacing w:before="120" w:beforeAutospacing="0" w:after="120" w:afterAutospacing="0" w:line="240" w:lineRule="auto"/>
        <w:ind w:left="283" w:right="0" w:firstLine="227"/>
        <w:contextualSpacing w:val="0"/>
        <w:rPr>
          <w:color w:val="000000"/>
          <w:szCs w:val="20"/>
          <w:lang w:val="x-none" w:eastAsia="en-US" w:bidi="ar-SA"/>
        </w:rPr>
      </w:pPr>
    </w:p>
    <w:sectPr>
      <w:footerReference w:type="default" r:id="rId5"/>
      <w:type w:val="nextPage"/>
      <w:pgSz w:w="11906" w:h="16838" w:code="0"/>
      <w:pgMar w:top="850" w:right="850" w:bottom="1417" w:left="850" w:header="708" w:footer="708" w:gutter="0"/>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804"/>
      <w:gridCol w:w="3402"/>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804" w:type="dxa"/>
          <w:tcBorders>
            <w:top w:val="single" w:sz="4" w:space="0" w:color="auto"/>
            <w:left w:val="nil"/>
            <w:bottom w:val="nil"/>
            <w:right w:val="nil"/>
          </w:tcBorders>
          <w:noWrap w:val="0"/>
          <w:tcMar>
            <w:top w:w="100" w:type="dxa"/>
            <w:left w:w="5" w:type="dxa"/>
            <w:bottom w:w="5" w:type="dxa"/>
            <w:right w:w="5" w:type="dxa"/>
          </w:tcMar>
          <w:vAlign w:val="top"/>
          <w:hideMark/>
        </w:tcPr>
        <w:p>
          <w:pPr>
            <w:jc w:val="left"/>
            <w:rPr>
              <w:rFonts w:ascii="Times New Roman" w:eastAsia="Times New Roman" w:hAnsi="Times New Roman" w:cs="Times New Roman"/>
              <w:b w:val="0"/>
              <w:sz w:val="18"/>
            </w:rPr>
          </w:pPr>
          <w:r>
            <w:rPr>
              <w:rFonts w:ascii="Times New Roman" w:eastAsia="Times New Roman" w:hAnsi="Times New Roman" w:cs="Times New Roman"/>
              <w:b w:val="0"/>
              <w:sz w:val="18"/>
            </w:rPr>
            <w:t>Podpisany</w:t>
          </w:r>
        </w:p>
      </w:tc>
      <w:tc>
        <w:tcPr>
          <w:tcW w:w="3402" w:type="dxa"/>
          <w:tcBorders>
            <w:top w:val="single" w:sz="4" w:space="0" w:color="auto"/>
            <w:left w:val="nil"/>
            <w:bottom w:val="nil"/>
            <w:right w:val="nil"/>
          </w:tcBorders>
          <w:noWrap w:val="0"/>
          <w:tcMar>
            <w:top w:w="100" w:type="dxa"/>
            <w:left w:w="5" w:type="dxa"/>
            <w:bottom w:w="5" w:type="dxa"/>
            <w:right w:w="5" w:type="dxa"/>
          </w:tcMar>
          <w:vAlign w:val="top"/>
          <w:hideMark/>
        </w:tcPr>
        <w:p>
          <w:pPr>
            <w:jc w:val="right"/>
            <w:rPr>
              <w:rFonts w:ascii="Times New Roman" w:eastAsia="Times New Roman" w:hAnsi="Times New Roman" w:cs="Times New Roman"/>
              <w:b w:val="0"/>
              <w:sz w:val="18"/>
            </w:rPr>
          </w:pPr>
          <w:r>
            <w:rPr>
              <w:rFonts w:ascii="Times New Roman" w:eastAsia="Times New Roman" w:hAnsi="Times New Roman" w:cs="Times New Roman"/>
              <w:b w:val="0"/>
              <w:sz w:val="18"/>
            </w:rPr>
            <w:t xml:space="preserve">Strona </w:t>
          </w:r>
          <w:r>
            <w:rPr>
              <w:rFonts w:ascii="Times New Roman" w:eastAsia="Times New Roman" w:hAnsi="Times New Roman" w:cs="Times New Roman"/>
              <w:b w:val="0"/>
              <w:sz w:val="18"/>
            </w:rPr>
            <w:fldChar w:fldCharType="begin"/>
          </w:r>
          <w:r>
            <w:rPr>
              <w:rFonts w:ascii="Times New Roman" w:eastAsia="Times New Roman" w:hAnsi="Times New Roman" w:cs="Times New Roman"/>
              <w:b w:val="0"/>
              <w:sz w:val="18"/>
            </w:rPr>
            <w:instrText>PAGE</w:instrText>
          </w:r>
          <w:r>
            <w:rPr>
              <w:rFonts w:ascii="Times New Roman" w:eastAsia="Times New Roman" w:hAnsi="Times New Roman" w:cs="Times New Roman"/>
              <w:b w:val="0"/>
              <w:sz w:val="18"/>
            </w:rPr>
            <w:fldChar w:fldCharType="separate"/>
          </w:r>
          <w:r>
            <w:rPr>
              <w:rFonts w:ascii="Times New Roman" w:eastAsia="Times New Roman" w:hAnsi="Times New Roman" w:cs="Times New Roman"/>
              <w:b w:val="0"/>
              <w:sz w:val="18"/>
            </w:rPr>
            <w:fldChar w:fldCharType="end"/>
          </w:r>
        </w:p>
      </w:tc>
    </w:tr>
  </w:tbl>
  <w:p>
    <w:pPr>
      <w:rPr>
        <w:rFonts w:ascii="Times New Roman" w:eastAsia="Times New Roman" w:hAnsi="Times New Roman" w:cs="Times New Roman"/>
        <w:b w:val="0"/>
        <w:sz w:val="18"/>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804"/>
      <w:gridCol w:w="3402"/>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804" w:type="dxa"/>
          <w:tcBorders>
            <w:top w:val="single" w:sz="4" w:space="0" w:color="auto"/>
            <w:left w:val="nil"/>
            <w:bottom w:val="nil"/>
            <w:right w:val="nil"/>
          </w:tcBorders>
          <w:noWrap w:val="0"/>
          <w:tcMar>
            <w:top w:w="100" w:type="dxa"/>
            <w:left w:w="5" w:type="dxa"/>
            <w:bottom w:w="5" w:type="dxa"/>
            <w:right w:w="5" w:type="dxa"/>
          </w:tcMar>
          <w:vAlign w:val="top"/>
          <w:hideMark/>
        </w:tcPr>
        <w:p>
          <w:pPr>
            <w:jc w:val="left"/>
            <w:rPr>
              <w:rFonts w:ascii="Times New Roman" w:eastAsia="Times New Roman" w:hAnsi="Times New Roman" w:cs="Times New Roman"/>
              <w:b w:val="0"/>
              <w:sz w:val="18"/>
            </w:rPr>
          </w:pPr>
          <w:r>
            <w:rPr>
              <w:rFonts w:ascii="Times New Roman" w:eastAsia="Times New Roman" w:hAnsi="Times New Roman" w:cs="Times New Roman"/>
              <w:b w:val="0"/>
              <w:sz w:val="18"/>
            </w:rPr>
            <w:t>Podpisany</w:t>
          </w:r>
        </w:p>
      </w:tc>
      <w:tc>
        <w:tcPr>
          <w:tcW w:w="3402" w:type="dxa"/>
          <w:tcBorders>
            <w:top w:val="single" w:sz="4" w:space="0" w:color="auto"/>
            <w:left w:val="nil"/>
            <w:bottom w:val="nil"/>
            <w:right w:val="nil"/>
          </w:tcBorders>
          <w:noWrap w:val="0"/>
          <w:tcMar>
            <w:top w:w="100" w:type="dxa"/>
            <w:left w:w="5" w:type="dxa"/>
            <w:bottom w:w="5" w:type="dxa"/>
            <w:right w:w="5" w:type="dxa"/>
          </w:tcMar>
          <w:vAlign w:val="top"/>
          <w:hideMark/>
        </w:tcPr>
        <w:p>
          <w:pPr>
            <w:jc w:val="right"/>
            <w:rPr>
              <w:rFonts w:ascii="Times New Roman" w:eastAsia="Times New Roman" w:hAnsi="Times New Roman" w:cs="Times New Roman"/>
              <w:b w:val="0"/>
              <w:sz w:val="18"/>
            </w:rPr>
          </w:pPr>
          <w:r>
            <w:rPr>
              <w:rFonts w:ascii="Times New Roman" w:eastAsia="Times New Roman" w:hAnsi="Times New Roman" w:cs="Times New Roman"/>
              <w:b w:val="0"/>
              <w:sz w:val="18"/>
            </w:rPr>
            <w:t xml:space="preserve">Strona </w:t>
          </w:r>
          <w:r>
            <w:rPr>
              <w:rFonts w:ascii="Times New Roman" w:eastAsia="Times New Roman" w:hAnsi="Times New Roman" w:cs="Times New Roman"/>
              <w:b w:val="0"/>
              <w:sz w:val="18"/>
            </w:rPr>
            <w:fldChar w:fldCharType="begin"/>
          </w:r>
          <w:r>
            <w:rPr>
              <w:rFonts w:ascii="Times New Roman" w:eastAsia="Times New Roman" w:hAnsi="Times New Roman" w:cs="Times New Roman"/>
              <w:b w:val="0"/>
              <w:sz w:val="18"/>
            </w:rPr>
            <w:instrText>PAGE</w:instrText>
          </w:r>
          <w:r>
            <w:rPr>
              <w:rFonts w:ascii="Times New Roman" w:eastAsia="Times New Roman" w:hAnsi="Times New Roman" w:cs="Times New Roman"/>
              <w:b w:val="0"/>
              <w:sz w:val="18"/>
            </w:rPr>
            <w:fldChar w:fldCharType="separate"/>
          </w:r>
          <w:r>
            <w:rPr>
              <w:rFonts w:ascii="Times New Roman" w:eastAsia="Times New Roman" w:hAnsi="Times New Roman" w:cs="Times New Roman"/>
              <w:b w:val="0"/>
              <w:sz w:val="18"/>
            </w:rPr>
            <w:fldChar w:fldCharType="end"/>
          </w:r>
        </w:p>
      </w:tc>
    </w:tr>
  </w:tbl>
  <w:p>
    <w:pPr>
      <w:rPr>
        <w:rFonts w:ascii="Times New Roman" w:eastAsia="Times New Roman" w:hAnsi="Times New Roman" w:cs="Times New Roman"/>
        <w:b w:val="0"/>
        <w:sz w:val="18"/>
      </w:rP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noPunctuationKerning/>
  <w:characterSpacingControl w:val="doNotCompress"/>
  <w:endnotePr>
    <w:numFmt w:val="decimal"/>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pl-PL"/>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jc w:val="both"/>
    </w:pPr>
    <w:rPr>
      <w:rFonts w:ascii="Times New Roman" w:eastAsia="Times New Roman" w:hAnsi="Times New Roman" w:cs="Times New Roman"/>
      <w:sz w:val="22"/>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table" w:styleId="TableSimple1">
    <w:name w:val="Table Simple 1"/>
    <w:basedOn w:val="TableNormal"/>
    <w:rPr>
      <w:color w:val="000000"/>
      <w:sz w:val="22"/>
      <w:lang w:val="x-none" w:eastAsia="en-US" w:bidi="ar-SA"/>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a:dk1>
      <a:lt1>
        <a:sysClr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Burmistrz Szubina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Zarządzenie Nr 0050.1.86.2021 z dnia 30 lipca 2021 r.</dc:title>
  <dc:subject>w sprawie powołania komisji przetargowej  do przeprowadzenia postępowania o^udzielenie zamówienia  w^trybie przetargu nieograniczonego na odbieranie odpadów komunalnych od właścicieli nieruchomości, na których zamieszkują mieszkańcy, zlokalizowanych na terenie Gminy Szubin oraz ich zagospodarowanie w^okresie 01.01.2022 - 31.12.2025.</dc:subject>
  <dc:creator>RenataK</dc:creator>
  <cp:lastModifiedBy>RenataK</cp:lastModifiedBy>
  <cp:revision>1</cp:revision>
  <dcterms:created xsi:type="dcterms:W3CDTF">2021-07-30T12:35:56Z</dcterms:created>
  <dcterms:modified xsi:type="dcterms:W3CDTF">2021-07-30T12:35:56Z</dcterms:modified>
  <cp:category>Akt prawny</cp:category>
</cp:coreProperties>
</file>