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0.12.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0050.1.152.2021</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29 listopada 2021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pn. Bezgotówkowe tankowanie pojazdów i sprzętu silnikowego stanowiącego własność Gminy Szubin paliwem płynnym: olejem napędowym, benzyną PB-95.</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 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 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1372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 1834)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 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1129,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1598)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Powołuje się komisję przetargową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celu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zamówienie publiczne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udzielenia zamówienia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trybie podstawowym bez negocjacji pn. Bezgotówkowe tankowanie pojazdów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sprzętu silnikowego stanowiącego własność Gminy Szubin paliwem płynnym: olejem napędowym, benzyną PB-95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Natalia Konieczna - Walczak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Renata Grochala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Agata Nisiewicz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Magdalena Zygowska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Zadaniem komisji przetargowej jest przygotowanie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przeprowadzenie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dokonanie oceny spełniania przez wykonawców warunków udziału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ocena ofert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oparciu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3. </w:t>
      </w:r>
      <w:r>
        <w:rPr>
          <w:rFonts w:ascii="Times New Roman" w:eastAsia="Times New Roman" w:hAnsi="Times New Roman" w:cs="Times New Roman"/>
          <w:b w:val="0"/>
          <w:caps w:val="0"/>
          <w:strike w:val="0"/>
          <w:color w:val="auto"/>
          <w:sz w:val="22"/>
          <w:u w:val="none"/>
        </w:rPr>
        <w:t>Nadaje się regulamin pracy komisji przetargowej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Pracami komisji kieruje przewodniczący komisji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Dokumentację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W zakresie przygotowania postępowania komisja przygotowuje specyfikację warunków zamówienia, wraz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W zakresie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komisja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także występuje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wnioskiem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5) </w:t>
      </w:r>
      <w:r>
        <w:rPr>
          <w:rFonts w:ascii="Times New Roman" w:eastAsia="Times New Roman" w:hAnsi="Times New Roman" w:cs="Times New Roman"/>
          <w:b w:val="0"/>
          <w:caps w:val="0"/>
          <w:strike w:val="0"/>
          <w:color w:val="auto"/>
          <w:sz w:val="22"/>
          <w:u w:val="none"/>
        </w:rPr>
        <w:t>Komisja podejmuje kolegialnie swoje decyzje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głosowaniu jawnym, zwykłą większością głosów,</w:t>
      </w:r>
      <w:r>
        <w:rPr>
          <w:rFonts w:ascii="Times New Roman" w:eastAsia="Times New Roman" w:hAnsi="Times New Roman" w:cs="Times New Roman"/>
          <w:b w:val="0"/>
          <w:caps w:val="0"/>
          <w:strike w:val="0"/>
          <w:color w:val="auto"/>
          <w:sz w:val="22"/>
          <w:u w:val="none"/>
        </w:rPr>
        <w:br/>
      </w:r>
      <w:r>
        <w:rPr>
          <w:rFonts w:ascii="Times New Roman" w:eastAsia="Times New Roman" w:hAnsi="Times New Roman" w:cs="Times New Roman"/>
          <w:b w:val="0"/>
          <w:caps w:val="0"/>
          <w:strike w:val="0"/>
          <w:color w:val="auto"/>
          <w:sz w:val="22"/>
          <w:u w:val="none"/>
        </w:rPr>
        <w:t>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6) </w:t>
      </w:r>
      <w:r>
        <w:rPr>
          <w:rFonts w:ascii="Times New Roman" w:eastAsia="Times New Roman" w:hAnsi="Times New Roman" w:cs="Times New Roman"/>
          <w:b w:val="0"/>
          <w:caps w:val="0"/>
          <w:strike w:val="0"/>
          <w:color w:val="auto"/>
          <w:sz w:val="22"/>
          <w:u w:val="none"/>
        </w:rPr>
        <w:t>Komisja przetargowa kończy pracę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zawarcia umowy albo unieważnieniem postępowania.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4. </w:t>
      </w:r>
      <w:r>
        <w:rPr>
          <w:rFonts w:ascii="Times New Roman" w:eastAsia="Times New Roman" w:hAnsi="Times New Roman" w:cs="Times New Roman"/>
          <w:b w:val="0"/>
          <w:caps w:val="0"/>
          <w:strike w:val="0"/>
          <w:color w:val="auto"/>
          <w:sz w:val="22"/>
          <w:u w:val="none"/>
        </w:rPr>
        <w:t>Zarządzenie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Ind w:w="5" w:type="dxa"/>
        <w:tblCellMar>
          <w:top w:w="0" w:type="dxa"/>
          <w:left w:w="0" w:type="dxa"/>
          <w:bottom w:w="0" w:type="dxa"/>
          <w:right w:w="0" w:type="dxa"/>
        </w:tblCellMar>
      </w:tblPr>
      <w:tblGrid>
        <w:gridCol w:w="5100"/>
        <w:gridCol w:w="5100"/>
      </w:tblGrid>
      <w:tr>
        <w:tblPrEx>
          <w:tblW w:w="5000" w:type="pct"/>
          <w:tblInd w:w="5" w:type="dxa"/>
          <w:tblCellMar>
            <w:top w:w="0" w:type="dxa"/>
            <w:left w:w="0" w:type="dxa"/>
            <w:bottom w:w="0" w:type="dxa"/>
            <w:right w:w="0" w:type="dxa"/>
          </w:tblCellMar>
        </w:tblPrEx>
        <w:tc>
          <w:tcPr>
            <w:tcW w:w="2500" w:type="pct"/>
            <w:noWrap w:val="0"/>
            <w:tcMar>
              <w:top w:w="5" w:type="dxa"/>
              <w:left w:w="5" w:type="dxa"/>
              <w:bottom w:w="5" w:type="dxa"/>
              <w:right w:w="5"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5" w:type="dxa"/>
              <w:left w:w="5" w:type="dxa"/>
              <w:bottom w:w="5" w:type="dxa"/>
              <w:right w:w="5"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footerReference w:type="default" r:id="rId4"/>
          <w:endnotePr>
            <w:numFmt w:val="decimal"/>
          </w:endnotePr>
          <w:pgSz w:w="11906" w:h="16838"/>
          <w:pgMar w:top="850" w:right="850" w:bottom="1417" w:left="85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color w:val="000000"/>
          <w:szCs w:val="20"/>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Cs w:val="20"/>
          <w:lang w:val="x-none" w:eastAsia="en-US" w:bidi="ar-SA"/>
        </w:rPr>
      </w:pPr>
      <w:r>
        <w:rPr>
          <w:b/>
          <w:color w:val="000000"/>
          <w:szCs w:val="20"/>
          <w:lang w:val="x-none" w:eastAsia="en-US" w:bidi="ar-SA"/>
        </w:rPr>
        <w:t>Uzasadnienie</w:t>
      </w:r>
    </w:p>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lang w:val="x-none" w:eastAsia="en-US" w:bidi="ar-SA"/>
        </w:rPr>
      </w:pPr>
      <w:r>
        <w:rPr>
          <w:color w:val="000000"/>
          <w:szCs w:val="20"/>
          <w:lang w:val="x-none" w:eastAsia="en-US" w:bidi="ar-SA"/>
        </w:rPr>
        <w:t xml:space="preserve">Zgodnie z przepisami ustawy z dnia </w:t>
      </w:r>
      <w:r>
        <w:rPr>
          <w:color w:val="000000"/>
          <w:szCs w:val="20"/>
        </w:rPr>
        <w:t>11 września 2019 r</w:t>
      </w:r>
      <w:r>
        <w:rPr>
          <w:color w:val="000000"/>
          <w:szCs w:val="20"/>
          <w:lang w:val="x-none" w:eastAsia="en-US" w:bidi="ar-SA"/>
        </w:rPr>
        <w:t>.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w:t>
      </w:r>
      <w:r>
        <w:rPr>
          <w:color w:val="000000"/>
          <w:szCs w:val="20"/>
        </w:rPr>
        <w:t xml:space="preserve"> </w:t>
      </w:r>
      <w:r>
        <w:rPr>
          <w:color w:val="000000"/>
          <w:szCs w:val="20"/>
          <w:lang w:val="x-none" w:eastAsia="en-US" w:bidi="ar-SA"/>
        </w:rPr>
        <w:t>spełniania przez wykonawców warunków udziału w postępowaniu</w:t>
      </w:r>
      <w:r>
        <w:rPr>
          <w:color w:val="000000"/>
          <w:szCs w:val="20"/>
        </w:rPr>
        <w:t xml:space="preserve">, braku podstaw wykluczenia </w:t>
      </w:r>
      <w:r>
        <w:rPr>
          <w:color w:val="000000"/>
          <w:szCs w:val="20"/>
          <w:lang w:val="x-none" w:eastAsia="en-US" w:bidi="ar-SA"/>
        </w:rPr>
        <w:t xml:space="preserve">oraz badania i oceny ofert.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w:t>
      </w:r>
      <w:r>
        <w:rPr>
          <w:color w:val="000000"/>
          <w:szCs w:val="20"/>
        </w:rPr>
        <w:t xml:space="preserve">jej </w:t>
      </w:r>
      <w:r>
        <w:rPr>
          <w:color w:val="000000"/>
          <w:szCs w:val="20"/>
          <w:lang w:val="x-none" w:eastAsia="en-US" w:bidi="ar-SA"/>
        </w:rPr>
        <w:t>prac.</w:t>
      </w:r>
    </w:p>
    <w:tbl>
      <w:tblPr>
        <w:tblStyle w:val="TableSimple1"/>
        <w:tblW w:w="5000" w:type="pct"/>
        <w:tblInd w:w="283" w:type="dxa"/>
        <w:tblBorders>
          <w:top w:val="nil"/>
          <w:left w:val="nil"/>
          <w:bottom w:val="nil"/>
          <w:right w:val="nil"/>
        </w:tblBorders>
        <w:tblLook w:val="04A0"/>
      </w:tblPr>
      <w:tblGrid>
        <w:gridCol w:w="4962"/>
        <w:gridCol w:w="4962"/>
      </w:tblGrid>
      <w:tr>
        <w:tblPrEx>
          <w:tblW w:w="5000" w:type="pct"/>
          <w:tblInd w:w="283" w:type="dxa"/>
          <w:tblBorders>
            <w:top w:val="nil"/>
            <w:left w:val="nil"/>
            <w:bottom w:val="nil"/>
            <w:right w:val="nil"/>
          </w:tblBorders>
          <w:tblLook w:val="04A0"/>
        </w:tblPrEx>
        <w:tc>
          <w:tcPr>
            <w:tcW w:w="2500" w:type="pct"/>
            <w:tcBorders>
              <w:righ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szCs w:val="20"/>
              </w:rPr>
            </w:pPr>
          </w:p>
        </w:tc>
        <w:tc>
          <w:tcPr>
            <w:tcW w:w="2500" w:type="pct"/>
            <w:tcBorders>
              <w:lef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SIGNATURE_0_1_FUNCTION</w:instrText>
            </w:r>
            <w:r>
              <w:rPr>
                <w:szCs w:val="20"/>
              </w:rPr>
              <w:fldChar w:fldCharType="separate"/>
            </w:r>
            <w:r>
              <w:rPr>
                <w:szCs w:val="20"/>
              </w:rPr>
              <w:t>Burmistrz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t xml:space="preserve">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Mariusz </w:t>
            </w:r>
            <w:r>
              <w:rPr>
                <w:szCs w:val="20"/>
              </w:rPr>
              <w:fldChar w:fldCharType="end"/>
            </w:r>
            <w:r>
              <w:rPr>
                <w:szCs w:val="20"/>
              </w:rPr>
              <w:fldChar w:fldCharType="begin"/>
            </w:r>
            <w:r>
              <w:rPr>
                <w:szCs w:val="20"/>
              </w:rPr>
              <w:instrText>SIGNATURE_0_1_LASTNAME</w:instrText>
            </w:r>
            <w:r>
              <w:rPr>
                <w:szCs w:val="20"/>
              </w:rPr>
              <w:fldChar w:fldCharType="separate"/>
            </w:r>
            <w:r>
              <w:rPr>
                <w:b/>
                <w:szCs w:val="20"/>
              </w:rPr>
              <w:t>Piotrkowski</w:t>
            </w:r>
            <w:r>
              <w:rPr>
                <w:szCs w:val="20"/>
              </w:rPr>
              <w:fldChar w:fldCharType="end"/>
            </w:r>
          </w:p>
        </w:tc>
      </w:tr>
    </w:tbl>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lang w:val="x-none" w:eastAsia="en-US" w:bidi="ar-SA"/>
        </w:rPr>
      </w:pPr>
    </w:p>
    <w:sectPr>
      <w:footerReference w:type="default" r:id="rId5"/>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9C8B461D-30F4-42E2-9680-0C186A165522. 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9C8B461D-30F4-42E2-9680-0C186A165522. 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Simple1">
    <w:name w:val="Table Simple 1"/>
    <w:basedOn w:val="TableNormal"/>
    <w:rPr>
      <w:color w:val="000000"/>
      <w:sz w:val="22"/>
      <w:lang w:val="x-none" w:eastAsia="en-US"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0050.1.152.2021 z dnia 29 listopada 2021 r.</dc:title>
  <dc:subject>w sprawie powołania komisji przetargowej  do przeprowadzenia postępowania o^udzielenie zamówienia  w^trybie podstawowym pn. Bezgotówkowe tankowanie pojazdów i^sprzętu silnikowego stanowiącego własność Gminy Szubin paliwem płynnym: olejem napędowym, benzyną PB-95.</dc:subject>
  <dc:creator>michalm</dc:creator>
  <cp:lastModifiedBy>michalm</cp:lastModifiedBy>
  <cp:revision>1</cp:revision>
  <dcterms:created xsi:type="dcterms:W3CDTF">2021-11-30T15:34:59Z</dcterms:created>
  <dcterms:modified xsi:type="dcterms:W3CDTF">2021-11-30T15:34:59Z</dcterms:modified>
  <cp:category>Akt prawny</cp:category>
</cp:coreProperties>
</file>