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0050.1.175.2021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21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zasad i wysokości opłat za zajęcie nieruchomości gruntowych stanowiących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0050.1.127.2020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opłat za zajęcie nieruchomości gruntowych stanowiących własność Gminy Szubin,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otrzymuje brzmienie:</w:t>
      </w:r>
    </w:p>
    <w:p w:rsidR="00A77B3E">
      <w:pPr>
        <w:keepNext w:val="0"/>
        <w:keepLines w:val="0"/>
        <w:spacing w:before="120" w:after="120" w:line="240" w:lineRule="auto"/>
        <w:ind w:left="1020" w:right="0" w:hanging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jednorazowej -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terminie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 od dnia wystawienia faktury.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9FE52E56-8F70-4A7A-A99F-53A065BD72FD.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0050.1.175.2021 z dnia 21 grudnia 2021 r.</dc:title>
  <dc:subject>zmieniające zarządzenie w^sprawie zasad i^wysokości opłat za zajęcie nieruchomości gruntowych stanowiących własność Gminy Szubin.</dc:subject>
  <dc:creator>RenataK</dc:creator>
  <cp:lastModifiedBy>RenataK</cp:lastModifiedBy>
  <cp:revision>1</cp:revision>
  <dcterms:created xsi:type="dcterms:W3CDTF">2021-12-21T10:22:47Z</dcterms:created>
  <dcterms:modified xsi:type="dcterms:W3CDTF">2021-12-21T10:22:47Z</dcterms:modified>
  <cp:category>Akt prawny</cp:category>
</cp:coreProperties>
</file>