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0050.1.177.2021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ustalenia wysokości czynszu za dzierżawę gruntów, stanowiących własność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nr 0050.1.96.2021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wysokości czynszu za dzierżawę gruntów, stanowiących własność Gminy Szubin, zmienionym Zarządzeniem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0050.1.130.2021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7), otrzymuje brzmienie: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”7) za grunty pod urządzenia infrastruktury technicznej- 20,00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zł/ 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 ”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4F55BFC9-5758-42B9-BBD3-AC599DE76F2A.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0050.1.177.2021 z dnia 30 grudnia 2021 r.</dc:title>
  <dc:subject>zmieniające zarządzenie w^sprawie ustalenia wysokości czynszu za dzierżawę gruntów, stanowiących własność Gminy Szubin.</dc:subject>
  <dc:creator>RenataK</dc:creator>
  <cp:lastModifiedBy>RenataK</cp:lastModifiedBy>
  <cp:revision>1</cp:revision>
  <dcterms:created xsi:type="dcterms:W3CDTF">2021-12-30T10:24:39Z</dcterms:created>
  <dcterms:modified xsi:type="dcterms:W3CDTF">2021-12-30T10:24:39Z</dcterms:modified>
  <cp:category>Akt prawny</cp:category>
</cp:coreProperties>
</file>