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0050.1.73.2022</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30 marca 2022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powołania komisji przetargowej do przeprowadzenia postępowania o udzielenie zamówienia w trybie podstawowym na Przebudowę drogi gminnej przy ul. M. Dąbrowskiej i Bocznej w Rynarzewie.</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 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583)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1129,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1598,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2269,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25)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 </w:t>
      </w:r>
      <w:r>
        <w:rPr>
          <w:rFonts w:ascii="Times New Roman" w:eastAsia="Times New Roman" w:hAnsi="Times New Roman" w:cs="Times New Roman"/>
          <w:b w:val="0"/>
          <w:i w:val="0"/>
          <w:caps w:val="0"/>
          <w:strike w:val="0"/>
          <w:color w:val="auto"/>
          <w:sz w:val="22"/>
          <w:u w:val="none"/>
          <w:vertAlign w:val="baseline"/>
        </w:rPr>
        <w:t>Powołuje się komisję przetargową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celu przeprowadzenia postępowania o</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zamówienie publiczne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udzielenia zamówienia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trybie podstawowym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 xml:space="preserve">negocjacjami fakultatywnymi na </w:t>
      </w:r>
      <w:r>
        <w:rPr>
          <w:rFonts w:ascii="Times New Roman" w:eastAsia="Times New Roman" w:hAnsi="Times New Roman" w:cs="Times New Roman"/>
          <w:b/>
          <w:i w:val="0"/>
          <w:caps w:val="0"/>
          <w:strike w:val="0"/>
          <w:color w:val="000000"/>
          <w:sz w:val="22"/>
          <w:u w:val="none" w:color="000000"/>
          <w:vertAlign w:val="baseline"/>
        </w:rPr>
        <w:t>Przebudowę drogi gminnej przy ul. M. Dąbrowskiej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Bocznej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 xml:space="preserve">Rynarzewie </w:t>
      </w:r>
      <w:r>
        <w:rPr>
          <w:rFonts w:ascii="Times New Roman" w:eastAsia="Times New Roman" w:hAnsi="Times New Roman" w:cs="Times New Roman"/>
          <w:b w:val="0"/>
          <w:i w:val="0"/>
          <w:caps w:val="0"/>
          <w:strike w:val="0"/>
          <w:color w:val="000000"/>
          <w:sz w:val="22"/>
          <w:u w:val="none" w:color="000000"/>
          <w:vertAlign w:val="baseline"/>
        </w:rPr>
        <w:t>w 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Joanna Nowak Moniak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Przemysław Owczarzak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Mateusz Pieczyński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Magdalena Zygowska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b w:val="0"/>
          <w:i w:val="0"/>
          <w:caps w:val="0"/>
          <w:strike w:val="0"/>
          <w:color w:val="000000"/>
          <w:sz w:val="22"/>
          <w:u w:val="none" w:color="000000"/>
          <w:vertAlign w:val="baseline"/>
        </w:rPr>
        <w:t>Zadaniem komisji przetargowej jest przygotowanie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przeprowadzenie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dokonanie oceny spełniania przez wykonawców warunków udziału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ocena ofert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oparciu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 </w:t>
      </w:r>
      <w:r>
        <w:rPr>
          <w:rFonts w:ascii="Times New Roman" w:eastAsia="Times New Roman" w:hAnsi="Times New Roman" w:cs="Times New Roman"/>
          <w:b w:val="0"/>
          <w:i w:val="0"/>
          <w:caps w:val="0"/>
          <w:strike w:val="0"/>
          <w:color w:val="000000"/>
          <w:sz w:val="22"/>
          <w:u w:val="none" w:color="000000"/>
          <w:vertAlign w:val="baseline"/>
        </w:rPr>
        <w:t>Nadaje się regulamin pracy komisji przetargowej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Pracami komisji kieruje przewodniczący komisji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Dokumentację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 zakresie przygotowania postępowania komisja przygotowuje specyfikację warunków zamówienia, wraz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załącznikami,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W zakresie przeprowadzenia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komisja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udziela wyjaśnień dotyczących treści specyfikacji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także występuje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wnioskiem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Komisja podejmuje kolegialnie swoje decyzje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głosowaniu jawnym, zwykłą większością głosów,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przypadkach spornych głos decydujący ma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Komisja przetargowa kończy pracę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zawarcia umowy albo unieważnieniem postępowania.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 </w:t>
      </w:r>
      <w:r>
        <w:rPr>
          <w:rFonts w:ascii="Times New Roman" w:eastAsia="Times New Roman" w:hAnsi="Times New Roman" w:cs="Times New Roman"/>
          <w:b w:val="0"/>
          <w:i w:val="0"/>
          <w:caps w:val="0"/>
          <w:strike w:val="0"/>
          <w:color w:val="000000"/>
          <w:sz w:val="22"/>
          <w:u w:val="none" w:color="000000"/>
          <w:vertAlign w:val="baseline"/>
        </w:rPr>
        <w:t>Zarządzenie wchodzi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życie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szCs w:val="20"/>
        </w:rPr>
      </w:pPr>
      <w:r>
        <w:rPr>
          <w:b/>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Zgodnie z przepisami ustawy z dnia 11 września 2019 r. Prawo zamówień publicznych, postępowanie 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 spełniania przez wykonawców warunków udziału w postępowaniu, braku podstaw wykluczenia oraz badania i oceny ofert.</w:t>
      </w:r>
    </w:p>
    <w:p>
      <w:pPr>
        <w:keepNext/>
        <w:keepLines/>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jej prac.</w:t>
      </w:r>
    </w:p>
    <w:p>
      <w:pPr>
        <w:keepNext/>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r>
        <w:rPr>
          <w:color w:val="000000"/>
          <w:szCs w:val="20"/>
        </w:rPr>
        <w:t> </w:t>
      </w:r>
    </w:p>
    <w:tbl>
      <w:tblPr>
        <w:tblStyle w:val="TableNormal"/>
        <w:tblW w:w="5000" w:type="pct"/>
        <w:tblLayout w:type="fixed"/>
        <w:tblCellMar>
          <w:top w:w="0" w:type="dxa"/>
          <w:left w:w="0" w:type="dxa"/>
          <w:bottom w:w="0" w:type="dxa"/>
          <w:right w:w="0" w:type="dxa"/>
        </w:tblCellMar>
      </w:tblPr>
      <w:tblGrid>
        <w:gridCol w:w="4933"/>
        <w:gridCol w:w="4933"/>
      </w:tblGrid>
      <w:tr>
        <w:tblPrEx>
          <w:tblW w:w="5000" w:type="pct"/>
          <w:tblLayout w:type="fixed"/>
          <w:tblCellMar>
            <w:top w:w="0" w:type="dxa"/>
            <w:left w:w="0" w:type="dxa"/>
            <w:bottom w:w="0" w:type="dxa"/>
            <w:right w:w="0" w:type="dxa"/>
          </w:tblCellMar>
        </w:tblPrEx>
        <w:tc>
          <w:tcPr>
            <w:tcW w:w="4935" w:type="dxa"/>
            <w:noWrap w:val="0"/>
            <w:tcMar>
              <w:top w:w="0" w:type="dxa"/>
              <w:left w:w="0" w:type="dxa"/>
              <w:bottom w:w="0" w:type="dxa"/>
              <w:right w:w="0" w:type="dxa"/>
            </w:tcMar>
            <w:vAlign w:val="top"/>
            <w:hideMark/>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left"/>
              <w:rPr>
                <w:color w:val="000000"/>
                <w:szCs w:val="20"/>
              </w:rPr>
            </w:pPr>
          </w:p>
        </w:tc>
        <w:tc>
          <w:tcPr>
            <w:tcW w:w="4935" w:type="dxa"/>
            <w:noWrap w:val="0"/>
            <w:tcMar>
              <w:top w:w="0" w:type="dxa"/>
              <w:left w:w="0" w:type="dxa"/>
              <w:bottom w:w="0" w:type="dxa"/>
              <w:right w:w="0" w:type="dxa"/>
            </w:tcMar>
            <w:vAlign w:val="top"/>
            <w:hideMark/>
          </w:tcPr>
          <w:p>
            <w:pPr>
              <w:keepNext/>
              <w:keepLines/>
              <w:widowControl/>
              <w:suppressLineNumbers w:val="0"/>
              <w:shd w:val="clear" w:color="auto" w:fill="auto"/>
              <w:suppressAutoHyphens w:val="0"/>
              <w:spacing w:before="560" w:beforeAutospacing="0" w:after="560" w:afterAutospacing="0" w:line="240" w:lineRule="auto"/>
              <w:ind w:left="1134" w:right="1134" w:firstLine="0"/>
              <w:contextualSpacing w:val="0"/>
              <w:jc w:val="center"/>
              <w:rPr>
                <w:b/>
                <w:color w:val="000000"/>
                <w:szCs w:val="20"/>
              </w:rPr>
            </w:pPr>
            <w:r>
              <w:rPr>
                <w:color w:val="000000"/>
                <w:szCs w:val="20"/>
              </w:rPr>
              <w:fldChar w:fldCharType="begin"/>
            </w:r>
            <w:r>
              <w:rPr>
                <w:color w:val="000000"/>
                <w:szCs w:val="20"/>
              </w:rPr>
              <w:instrText>MERGEFIELD SIGNATURE_0_0__FUNCTION \* MERGEFORMAT</w:instrText>
            </w:r>
            <w:r>
              <w:rPr>
                <w:color w:val="000000"/>
                <w:szCs w:val="20"/>
              </w:rPr>
              <w:fldChar w:fldCharType="separate"/>
            </w:r>
            <w:r>
              <w:rPr>
                <w:color w:val="000000"/>
                <w:szCs w:val="20"/>
              </w:rPr>
              <w:t>Burmistrz Szubina</w:t>
            </w:r>
            <w:r>
              <w:rPr>
                <w:color w:val="000000"/>
                <w:szCs w:val="20"/>
              </w:rPr>
              <w:fldChar w:fldCharType="end"/>
            </w:r>
            <w:r>
              <w:rPr>
                <w:color w:val="000000"/>
                <w:szCs w:val="20"/>
              </w:rPr>
              <w:br/>
              <w:br/>
              <w:br/>
            </w:r>
            <w:r>
              <w:rPr>
                <w:b/>
                <w:color w:val="000000"/>
                <w:szCs w:val="20"/>
              </w:rPr>
              <w:fldChar w:fldCharType="begin"/>
            </w:r>
            <w:r>
              <w:rPr>
                <w:b/>
                <w:color w:val="000000"/>
                <w:szCs w:val="20"/>
              </w:rPr>
              <w:instrText>MERGEFIELD SIGNATURE_0_0_FIRSTNAME \* MERGEFORMAT</w:instrText>
            </w:r>
            <w:r>
              <w:rPr>
                <w:b/>
                <w:color w:val="000000"/>
                <w:szCs w:val="20"/>
              </w:rPr>
              <w:fldChar w:fldCharType="separate"/>
            </w:r>
            <w:r>
              <w:rPr>
                <w:b/>
                <w:color w:val="000000"/>
                <w:szCs w:val="20"/>
              </w:rPr>
              <w:t>Mariusz</w:t>
            </w:r>
            <w:r>
              <w:rPr>
                <w:b/>
                <w:color w:val="000000"/>
                <w:szCs w:val="20"/>
              </w:rPr>
              <w:fldChar w:fldCharType="end"/>
            </w:r>
            <w:r>
              <w:rPr>
                <w:b/>
                <w:color w:val="000000"/>
                <w:szCs w:val="20"/>
              </w:rPr>
              <w:t> </w:t>
            </w:r>
            <w:r>
              <w:rPr>
                <w:b/>
                <w:color w:val="000000"/>
                <w:szCs w:val="20"/>
              </w:rPr>
              <w:fldChar w:fldCharType="begin"/>
            </w:r>
            <w:r>
              <w:rPr>
                <w:b/>
                <w:color w:val="000000"/>
                <w:szCs w:val="20"/>
              </w:rPr>
              <w:instrText>MERGEFIELD SIGNATURE_0_0_LASTNAME \* MERGEFORMAT</w:instrText>
            </w:r>
            <w:r>
              <w:rPr>
                <w:b/>
                <w:color w:val="000000"/>
                <w:szCs w:val="20"/>
              </w:rPr>
              <w:fldChar w:fldCharType="separate"/>
            </w:r>
            <w:r>
              <w:rPr>
                <w:b/>
                <w:color w:val="000000"/>
                <w:szCs w:val="20"/>
              </w:rPr>
              <w:t>Piotrkowski</w:t>
            </w:r>
            <w:r>
              <w:rPr>
                <w:b/>
                <w:color w:val="000000"/>
                <w:szCs w:val="20"/>
              </w:rPr>
              <w:fldChar w:fldCharType="end"/>
            </w:r>
            <w:r>
              <w:rPr>
                <w:b/>
                <w:color w:val="000000"/>
                <w:szCs w:val="20"/>
              </w:rPr>
              <w:t> </w:t>
            </w:r>
          </w:p>
        </w:tc>
      </w:tr>
    </w:tbl>
    <w:p>
      <w:pPr>
        <w:keepNext/>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007E6149-3D1C-41AF-853A-825B2357116D.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007E6149-3D1C-41AF-853A-825B2357116D.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0050.1.73.2022 z dnia 30 marca 2022 r.</dc:title>
  <dc:subject>w sprawie powołania komisji przetargowej do przeprowadzenia postępowania o^udzielenie zamówienia w^trybie podstawowym na Przebudowę drogi gminnej przy ul. M. Dąbrowskiej i^Bocznej w^Rynarzewie.</dc:subject>
  <dc:creator>RenataK</dc:creator>
  <cp:lastModifiedBy>RenataK</cp:lastModifiedBy>
  <cp:revision>1</cp:revision>
  <dcterms:created xsi:type="dcterms:W3CDTF">2022-03-30T11:26:51Z</dcterms:created>
  <dcterms:modified xsi:type="dcterms:W3CDTF">2022-03-30T11:26:51Z</dcterms:modified>
  <cp:category>Akt prawny</cp:category>
</cp:coreProperties>
</file>