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0050.1.106.2022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23 maja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na Rozbudowę oświetlenia ulicznego i drogowego w gminie Szubin.</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583)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872)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Powołuje się komisję przetargową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celu przeprowadzenia postępowania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zamówienie publiczne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udzielenia zamówienia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trybie podstawowym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 xml:space="preserve">negocjacjami fakultatywnymi na </w:t>
      </w:r>
      <w:r>
        <w:rPr>
          <w:rFonts w:ascii="Times New Roman" w:eastAsia="Times New Roman" w:hAnsi="Times New Roman" w:cs="Times New Roman"/>
          <w:b/>
          <w:i w:val="0"/>
          <w:caps w:val="0"/>
          <w:strike w:val="0"/>
          <w:color w:val="000000"/>
          <w:sz w:val="22"/>
          <w:u w:val="none" w:color="000000"/>
          <w:vertAlign w:val="baseline"/>
        </w:rPr>
        <w:t>Rozbudowę oświetlenia ulicznego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drogowego w</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 xml:space="preserve">gminie Szubin </w:t>
      </w:r>
      <w:r>
        <w:rPr>
          <w:rFonts w:ascii="Times New Roman" w:eastAsia="Times New Roman" w:hAnsi="Times New Roman" w:cs="Times New Roman"/>
          <w:b w:val="0"/>
          <w:i w:val="0"/>
          <w:caps w:val="0"/>
          <w:strike w:val="0"/>
          <w:color w:val="000000"/>
          <w:sz w:val="22"/>
          <w:u w:val="none" w:color="000000"/>
          <w:vertAlign w:val="baseline"/>
        </w:rPr>
        <w:t>w 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Joanna Nowak – Moniak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Mateusz Pieczyński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Milena Marciniak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Emilia Jasińska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przygotowuje specyfikację warunków zamówienia,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Komisja przetargowa kończy pracę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keepLines/>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r>
        <w:rPr>
          <w:color w:val="000000"/>
          <w:szCs w:val="20"/>
        </w:rPr>
        <w:t> </w:t>
      </w:r>
    </w:p>
    <w:tbl>
      <w:tblPr>
        <w:tblStyle w:val="TableNormal"/>
        <w:tblW w:w="5000" w:type="pct"/>
        <w:tblLayout w:type="fixed"/>
        <w:tblCellMar>
          <w:top w:w="0" w:type="dxa"/>
          <w:left w:w="0" w:type="dxa"/>
          <w:bottom w:w="0" w:type="dxa"/>
          <w:right w:w="0" w:type="dxa"/>
        </w:tblCellMar>
      </w:tblPr>
      <w:tblGrid>
        <w:gridCol w:w="4933"/>
        <w:gridCol w:w="4933"/>
      </w:tblGrid>
      <w:tr>
        <w:tblPrEx>
          <w:tblW w:w="5000" w:type="pct"/>
          <w:tblLayout w:type="fixed"/>
          <w:tblCellMar>
            <w:top w:w="0" w:type="dxa"/>
            <w:left w:w="0" w:type="dxa"/>
            <w:bottom w:w="0" w:type="dxa"/>
            <w:right w:w="0" w:type="dxa"/>
          </w:tblCellMar>
        </w:tblPrEx>
        <w:tc>
          <w:tcPr>
            <w:tcW w:w="4935" w:type="dxa"/>
            <w:noWrap w:val="0"/>
            <w:tcMar>
              <w:top w:w="0" w:type="dxa"/>
              <w:left w:w="0" w:type="dxa"/>
              <w:bottom w:w="0" w:type="dxa"/>
              <w:right w:w="0" w:type="dxa"/>
            </w:tcMar>
            <w:vAlign w:val="top"/>
            <w:hideMark/>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Cs w:val="20"/>
              </w:rPr>
            </w:pPr>
          </w:p>
        </w:tc>
        <w:tc>
          <w:tcPr>
            <w:tcW w:w="4935" w:type="dxa"/>
            <w:noWrap w:val="0"/>
            <w:tcMar>
              <w:top w:w="0" w:type="dxa"/>
              <w:left w:w="0" w:type="dxa"/>
              <w:bottom w:w="0" w:type="dxa"/>
              <w:right w:w="0" w:type="dxa"/>
            </w:tcMar>
            <w:vAlign w:val="top"/>
            <w:hideMark/>
          </w:tcPr>
          <w:p>
            <w:pPr>
              <w:keepNext/>
              <w:keepLines/>
              <w:widowControl/>
              <w:suppressLineNumbers w:val="0"/>
              <w:shd w:val="clear" w:color="auto" w:fill="auto"/>
              <w:suppressAutoHyphens w:val="0"/>
              <w:spacing w:before="560" w:beforeAutospacing="0" w:after="560" w:afterAutospacing="0" w:line="240" w:lineRule="auto"/>
              <w:ind w:left="1134" w:right="1134" w:firstLine="0"/>
              <w:contextualSpacing w:val="0"/>
              <w:jc w:val="center"/>
              <w:rPr>
                <w:b/>
                <w:color w:val="000000"/>
                <w:szCs w:val="20"/>
              </w:rPr>
            </w:pPr>
            <w:r>
              <w:rPr>
                <w:color w:val="000000"/>
                <w:szCs w:val="20"/>
              </w:rPr>
              <w:fldChar w:fldCharType="begin"/>
            </w:r>
            <w:r>
              <w:rPr>
                <w:color w:val="000000"/>
                <w:szCs w:val="20"/>
              </w:rPr>
              <w:instrText>MERGEFIELD SIGNATURE_0_0__FUNCTION \* MERGEFORMAT</w:instrText>
            </w:r>
            <w:r>
              <w:rPr>
                <w:color w:val="000000"/>
                <w:szCs w:val="20"/>
              </w:rPr>
              <w:fldChar w:fldCharType="separate"/>
            </w:r>
            <w:r>
              <w:rPr>
                <w:color w:val="000000"/>
                <w:szCs w:val="20"/>
              </w:rPr>
              <w:t>Burmistrz Szubina</w:t>
            </w:r>
            <w:r>
              <w:rPr>
                <w:color w:val="000000"/>
                <w:szCs w:val="20"/>
              </w:rPr>
              <w:fldChar w:fldCharType="end"/>
            </w:r>
            <w:r>
              <w:rPr>
                <w:color w:val="000000"/>
                <w:szCs w:val="20"/>
              </w:rPr>
              <w:br/>
              <w:br/>
              <w:br/>
            </w:r>
            <w:r>
              <w:rPr>
                <w:b/>
                <w:color w:val="000000"/>
                <w:szCs w:val="20"/>
              </w:rPr>
              <w:fldChar w:fldCharType="begin"/>
            </w:r>
            <w:r>
              <w:rPr>
                <w:b/>
                <w:color w:val="000000"/>
                <w:szCs w:val="20"/>
              </w:rPr>
              <w:instrText>MERGEFIELD SIGNATURE_0_0_FIRSTNAME \* MERGEFORMAT</w:instrText>
            </w:r>
            <w:r>
              <w:rPr>
                <w:b/>
                <w:color w:val="000000"/>
                <w:szCs w:val="20"/>
              </w:rPr>
              <w:fldChar w:fldCharType="separate"/>
            </w:r>
            <w:r>
              <w:rPr>
                <w:b/>
                <w:color w:val="000000"/>
                <w:szCs w:val="20"/>
              </w:rPr>
              <w:t>Mariusz</w:t>
            </w:r>
            <w:r>
              <w:rPr>
                <w:b/>
                <w:color w:val="000000"/>
                <w:szCs w:val="20"/>
              </w:rPr>
              <w:fldChar w:fldCharType="end"/>
            </w:r>
            <w:r>
              <w:rPr>
                <w:b/>
                <w:color w:val="000000"/>
                <w:szCs w:val="20"/>
              </w:rPr>
              <w:t> </w:t>
            </w:r>
            <w:r>
              <w:rPr>
                <w:b/>
                <w:color w:val="000000"/>
                <w:szCs w:val="20"/>
              </w:rPr>
              <w:fldChar w:fldCharType="begin"/>
            </w:r>
            <w:r>
              <w:rPr>
                <w:b/>
                <w:color w:val="000000"/>
                <w:szCs w:val="20"/>
              </w:rPr>
              <w:instrText>MERGEFIELD SIGNATURE_0_0_LASTNAME \* MERGEFORMAT</w:instrText>
            </w:r>
            <w:r>
              <w:rPr>
                <w:b/>
                <w:color w:val="000000"/>
                <w:szCs w:val="20"/>
              </w:rPr>
              <w:fldChar w:fldCharType="separate"/>
            </w:r>
            <w:r>
              <w:rPr>
                <w:b/>
                <w:color w:val="000000"/>
                <w:szCs w:val="20"/>
              </w:rPr>
              <w:t>Piotrkowski</w:t>
            </w:r>
            <w:r>
              <w:rPr>
                <w:b/>
                <w:color w:val="000000"/>
                <w:szCs w:val="20"/>
              </w:rPr>
              <w:fldChar w:fldCharType="end"/>
            </w:r>
            <w:r>
              <w:rPr>
                <w:b/>
                <w:color w:val="000000"/>
                <w:szCs w:val="20"/>
              </w:rPr>
              <w:t> </w:t>
            </w:r>
          </w:p>
        </w:tc>
      </w:tr>
    </w:tbl>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1606609A-65D5-40FD-A3CF-4B23C38170FD.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1606609A-65D5-40FD-A3CF-4B23C38170FD.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0050.1.106.2022 z dnia 23 maja 2022 r.</dc:title>
  <dc:subject>w sprawie powołania komisji przetargowej do przeprowadzenia postępowania o^udzielenie zamówienia w^trybie podstawowym na Rozbudowę oświetlenia ulicznego i^drogowego w^gminie Szubin.</dc:subject>
  <dc:creator>renatak</dc:creator>
  <cp:lastModifiedBy>renatak</cp:lastModifiedBy>
  <cp:revision>1</cp:revision>
  <dcterms:created xsi:type="dcterms:W3CDTF">2022-05-23T12:52:57Z</dcterms:created>
  <dcterms:modified xsi:type="dcterms:W3CDTF">2022-05-23T12:52:57Z</dcterms:modified>
  <cp:category>Akt prawny</cp:category>
</cp:coreProperties>
</file>