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0050.1.117.2022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9 czerwca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stawek czynszu za 1m2 powierzchni użytkowej lokali mieszkalnych wchodzących w skład mieszkaniowego zasobu Gminy Szubin oraz lokali podnajmowanych przez Gminę Szubin.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2001r.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ochronie praw lokatorów, mieszkaniowym zasobie gminy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 zmianie Kodeksu cywilnego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2022r. poz.172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975), zgodnie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zasadami polityki czynszowej określonymi uchwałą nr XXXVI/314/21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2021r.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uchwalenia wieloletniego programu gospodarowania mieszkaniowym zasobem Gminy Szubin na lata 2021-2026 (Dz.Urz.Województwa Kujawsko-Pomorskiego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września 2021r.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4274)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Ustala się stawkę bazową czynszu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wysokości 5,93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zł za 1m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powierzchni użytkowej lokali mieszkalnych wchodzących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 mieszkaniowego zasobu Gminy Szubin oraz lokali podnajmowanych przez Gminę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nr 0050.1.122.2021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2021r.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stawek czynszu za 1m2 powierzchni użytkowej lokali mieszkalnych wchodzących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 mieszkaniowego zasobu Gminy Szubin oraz lokali podnajmowanych przez Gminę Szubin.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2022r.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Podwyżka stawek czynszu za najem lub podnajem lokali dokonywana jest w oparciu o zapisy uchwały Rady Miejskiej w Szubinie z dnia 26 sierpnia 2021r. w sprawie wieloletniego programu gospodarowania mieszkaniowym zasobem Gminy Szubin na lata 2021 - 2026.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Określone w/w uchwała zasady polityki czynszowej przewidują, że zmiana stawek czynszu następować będzie wraz ze wzrostem średniorocznego wskaźnika cen towarów i usług konsumpcyjnych ogółem, od dnia 1 października danego roku, w oparciu o wzrost cen w roku poprzednim. W roku 2021 wskaźnik ten wyniósł 105,1 (wzrost o 5,1%).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 powyższym stanie rzeczy, wydanie niniejszego zarządzenia jest w pełni uzasadnione.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EDF4BF56-A0D9-4E1F-9C0B-EEE4DC8053EA.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EDF4BF56-A0D9-4E1F-9C0B-EEE4DC8053EA.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0050.1.117.2022 z dnia 9 czerwca 2022 r.</dc:title>
  <dc:subject>w sprawie ustalenia stawek czynszu za 1m2 powierzchni użytkowej lokali mieszkalnych wchodzących w^skład mieszkaniowego zasobu Gminy Szubin oraz lokali podnajmowanych przez Gminę Szubin.</dc:subject>
  <dc:creator>RenataK</dc:creator>
  <cp:lastModifiedBy>RenataK</cp:lastModifiedBy>
  <cp:revision>1</cp:revision>
  <dcterms:created xsi:type="dcterms:W3CDTF">2022-06-09T14:55:45Z</dcterms:created>
  <dcterms:modified xsi:type="dcterms:W3CDTF">2022-06-09T14:55:45Z</dcterms:modified>
  <cp:category>Akt prawny</cp:category>
</cp:coreProperties>
</file>