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wysokości czynszu za najem budynków i lokali, zajętych na działalność pocztową i garaże.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583,1005,1079)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miesięczną stawkę czynszu za budynki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lokale stanowiące zasób mienia komunalnego, wynajmowane na: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 garażowe  –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działalności pocztowej –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powierzchni użytkowej,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czynszu należy doliczyć podatek VAT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Komunalnej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Ustalenie stawek czynszu najmu budynków i lokali zajętych na działalność pocztową oraz na garaże jest niezbędne z uwagi na konieczność dostosowania tych stawek do realiów rynkowych.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Wobec powyższego wydanie niniejszego zarządzenia jest w pełni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A4105582-5652-4288-8061-6CBDEB3D075D.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A4105582-5652-4288-8061-6CBDEB3D075D.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0050.1.130.2022 z dnia 13 lipca 2022 r.</dc:title>
  <dc:subject>w sprawie ustalenia wysokości czynszu za najem budynków i^lokali, zajętych na działalność pocztową i^garaże.</dc:subject>
  <dc:creator>RenataK</dc:creator>
  <cp:lastModifiedBy>RenataK</cp:lastModifiedBy>
  <cp:revision>1</cp:revision>
  <dcterms:created xsi:type="dcterms:W3CDTF">2022-07-13T10:01:52Z</dcterms:created>
  <dcterms:modified xsi:type="dcterms:W3CDTF">2022-07-13T10:01:52Z</dcterms:modified>
  <cp:category>Akt prawny</cp:category>
</cp:coreProperties>
</file>