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niezabudowanej (budynek prognozowany, brak nr ewid.), oznaczonej ewidencyjnie jako działka numer: 235/6,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Szlak Królewski.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(dwanaście) dla nieruchomości zabudowanej (budynek istniejący, nr ewid. 710), oznaczonej ewidencyjnie jako działka numer: 124/12,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Chmielnej.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0050.1.145.2022 z dnia 22 lipca 2022 r.</dc:title>
  <dc:subject>w^sprawie ustalenia numerów porządkowych budynków.</dc:subject>
  <dc:creator>RenataK</dc:creator>
  <cp:lastModifiedBy>RenataK</cp:lastModifiedBy>
  <cp:revision>1</cp:revision>
  <dcterms:created xsi:type="dcterms:W3CDTF">2022-07-22T08:55:47Z</dcterms:created>
  <dcterms:modified xsi:type="dcterms:W3CDTF">2022-07-22T08:55:47Z</dcterms:modified>
  <cp:category>Akt prawny</cp:category>
</cp:coreProperties>
</file>