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(jeden) dla nieruchomości niezabudowanej (budynek prognozowany, brak nr ewid.), oznaczonej ewidencyjnie jako działka numer: 29/2,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Pięknej.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"BA") dla nieruchomości niezabudowanej (budynek prognozowany, brak nr ewid.), oznaczonej ewidencyjnie jako działka numer: 33/5,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pięć litera "A") dla nieruchomości zabudowanej (budynek istniejący, nr ewid. 391), oznaczonej ewidencyjnie jako działka numer: 150/17,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"AB") dla nieruchomości niezabudowanej (budynek prognozowany, brak nr ewid.), oznaczonej ewidencyjnie jako działka numer: 33/4,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 "B") dla nieruchomości niezabudowanej (budynek prognozowany, brak nr ewid.), oznaczonej ewidencyjnie jako działka numer: 735/10,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Mostowej.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 "C") dla nieruchomości niezabudowanej (budynek prognozowany, brak nr ewid.), oznaczonej ewidencyjnie jako działka numer: 735/11,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Mostowej.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 "D") dla nieruchomości zabudowanej (budynek istniejący, nr ewid. 1604), oznaczonej ewidencyjnie jako działka numer: 123/5,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Merlina.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(czternaście) dla nieruchomości zabudowanej (budynek istniejący, nr ewid. 341), oznaczonej ewidencyjnie jako działka numer: 452/16,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Wolwark, przy ul. Spokojnej.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 "B") dla nieruchomości niezabudowanej (budynek prognozowany, nr ewid. brak), oznaczonej ewidencyjnie jako działka numer: 384/4,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Wolwark, przy ul. Spokojnej.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0050.1.151.2022 z dnia 4 sierpnia 2022 r.</dc:title>
  <dc:subject>w^sprawie ustalenia numerów porządkowych budynków.</dc:subject>
  <dc:creator>AdamL</dc:creator>
  <cp:lastModifiedBy>AdamL</cp:lastModifiedBy>
  <cp:revision>1</cp:revision>
  <dcterms:created xsi:type="dcterms:W3CDTF">2022-08-04T10:15:32Z</dcterms:created>
  <dcterms:modified xsi:type="dcterms:W3CDTF">2022-08-04T10:15:32Z</dcterms:modified>
  <cp:category>Akt prawny</cp:category>
</cp:coreProperties>
</file>