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0050.1.171.2022</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1 września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na Świadczenie usług pocztowych w obrocie krajowym i zagranicznym dla Gminy Szubin w latach 2023-2026.</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 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583, poz.1005, poz.1079)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1710)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Powołuje się komisję przetargową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celu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zamówienie publiczne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udzielenia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bez negocjacji  na Świadczenie usług pocztowych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obrocie krajowym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zagranicznym dla Gminy Szubin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latach 2023-2026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Renata Kabulla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Małgorzata Krzyżańska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Aurelia Nykiel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Emilia Jasińska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Zadaniem komisji przetargowej jest przygotowanie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przeprowadzenie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dokonanie oceny spełniania przez wykonawców warunków udziału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ocena ofert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oparciu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Nadaje się regulamin pracy komisji przetargowej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Pracami komisji kieruje przewodniczący komisji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Dokumentację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W zakresie przygotowania postępowania komisja przygotowuje specyfikację warunków zamówienia, wraz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W zakresie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komisja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także występuje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wnioskiem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5) </w:t>
      </w:r>
      <w:r>
        <w:rPr>
          <w:rFonts w:ascii="Times New Roman" w:eastAsia="Times New Roman" w:hAnsi="Times New Roman" w:cs="Times New Roman"/>
          <w:b w:val="0"/>
          <w:caps w:val="0"/>
          <w:strike w:val="0"/>
          <w:color w:val="auto"/>
          <w:sz w:val="22"/>
          <w:u w:val="none"/>
        </w:rPr>
        <w:t>Komisja podejmuje kolegialnie swoje decyzje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głosowaniu jawnym, zwykłą większością głosów,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6) </w:t>
      </w:r>
      <w:r>
        <w:rPr>
          <w:rFonts w:ascii="Times New Roman" w:eastAsia="Times New Roman" w:hAnsi="Times New Roman" w:cs="Times New Roman"/>
          <w:b w:val="0"/>
          <w:caps w:val="0"/>
          <w:strike w:val="0"/>
          <w:color w:val="auto"/>
          <w:sz w:val="22"/>
          <w:u w:val="none"/>
        </w:rPr>
        <w:t>Komisja przetargowa kończy pracę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4.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Zgodnie z przepisami ustawy z dnia 11 września 2019 r. Prawo zamówień publicznych, postępowanie 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 braku podstaw wykluczenia oraz badania i oceny ofert.</w:t>
      </w:r>
    </w:p>
    <w:p>
      <w:pPr>
        <w:keepNext/>
        <w:keepLines/>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jej prac.</w:t>
      </w:r>
    </w:p>
    <w:p>
      <w:pPr>
        <w:keepNext/>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r>
        <w:rPr>
          <w:color w:val="000000"/>
          <w:szCs w:val="20"/>
        </w:rPr>
        <w:t> </w:t>
      </w:r>
    </w:p>
    <w:tbl>
      <w:tblPr>
        <w:tblStyle w:val="TableNormal"/>
        <w:tblW w:w="5000" w:type="pct"/>
        <w:tblLayout w:type="fixed"/>
        <w:tblCellMar>
          <w:top w:w="0" w:type="dxa"/>
          <w:left w:w="0" w:type="dxa"/>
          <w:bottom w:w="0" w:type="dxa"/>
          <w:right w:w="0" w:type="dxa"/>
        </w:tblCellMar>
      </w:tblPr>
      <w:tblGrid>
        <w:gridCol w:w="4933"/>
        <w:gridCol w:w="4933"/>
      </w:tblGrid>
      <w:tr>
        <w:tblPrEx>
          <w:tblW w:w="5000" w:type="pct"/>
          <w:tblLayout w:type="fixed"/>
          <w:tblCellMar>
            <w:top w:w="0" w:type="dxa"/>
            <w:left w:w="0" w:type="dxa"/>
            <w:bottom w:w="0" w:type="dxa"/>
            <w:right w:w="0" w:type="dxa"/>
          </w:tblCellMar>
        </w:tblPrEx>
        <w:tc>
          <w:tcPr>
            <w:tcW w:w="4935" w:type="dxa"/>
            <w:noWrap w:val="0"/>
            <w:tcMar>
              <w:top w:w="0" w:type="dxa"/>
              <w:left w:w="0" w:type="dxa"/>
              <w:bottom w:w="0" w:type="dxa"/>
              <w:right w:w="0" w:type="dxa"/>
            </w:tcMar>
            <w:vAlign w:val="top"/>
            <w:hideMark/>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left"/>
              <w:rPr>
                <w:color w:val="000000"/>
                <w:szCs w:val="20"/>
              </w:rPr>
            </w:pPr>
          </w:p>
        </w:tc>
        <w:tc>
          <w:tcPr>
            <w:tcW w:w="4935" w:type="dxa"/>
            <w:noWrap w:val="0"/>
            <w:tcMar>
              <w:top w:w="0" w:type="dxa"/>
              <w:left w:w="0" w:type="dxa"/>
              <w:bottom w:w="0" w:type="dxa"/>
              <w:right w:w="0" w:type="dxa"/>
            </w:tcMar>
            <w:vAlign w:val="top"/>
            <w:hideMark/>
          </w:tcPr>
          <w:p>
            <w:pPr>
              <w:keepNext/>
              <w:keepLines/>
              <w:widowControl/>
              <w:suppressLineNumbers w:val="0"/>
              <w:shd w:val="clear" w:color="auto" w:fill="auto"/>
              <w:suppressAutoHyphens w:val="0"/>
              <w:spacing w:before="560" w:beforeAutospacing="0" w:after="560" w:afterAutospacing="0" w:line="240" w:lineRule="auto"/>
              <w:ind w:left="1134" w:right="1134" w:firstLine="0"/>
              <w:contextualSpacing w:val="0"/>
              <w:jc w:val="center"/>
              <w:rPr>
                <w:b/>
                <w:color w:val="000000"/>
                <w:szCs w:val="20"/>
              </w:rPr>
            </w:pPr>
            <w:r>
              <w:rPr>
                <w:color w:val="000000"/>
                <w:szCs w:val="20"/>
              </w:rPr>
              <w:fldChar w:fldCharType="begin"/>
            </w:r>
            <w:r>
              <w:rPr>
                <w:color w:val="000000"/>
                <w:szCs w:val="20"/>
              </w:rPr>
              <w:instrText>MERGEFIELD SIGNATURE_0_0__FUNCTION \* MERGEFORMAT</w:instrText>
            </w:r>
            <w:r>
              <w:rPr>
                <w:color w:val="000000"/>
                <w:szCs w:val="20"/>
              </w:rPr>
              <w:fldChar w:fldCharType="separate"/>
            </w:r>
            <w:r>
              <w:rPr>
                <w:color w:val="000000"/>
                <w:szCs w:val="20"/>
              </w:rPr>
              <w:t>Burmistrz Szubina</w:t>
            </w:r>
            <w:r>
              <w:rPr>
                <w:color w:val="000000"/>
                <w:szCs w:val="20"/>
              </w:rPr>
              <w:fldChar w:fldCharType="end"/>
            </w:r>
            <w:r>
              <w:rPr>
                <w:color w:val="000000"/>
                <w:szCs w:val="20"/>
              </w:rPr>
              <w:br/>
              <w:br/>
              <w:br/>
            </w:r>
            <w:r>
              <w:rPr>
                <w:b/>
                <w:color w:val="000000"/>
                <w:szCs w:val="20"/>
              </w:rPr>
              <w:fldChar w:fldCharType="begin"/>
            </w:r>
            <w:r>
              <w:rPr>
                <w:b/>
                <w:color w:val="000000"/>
                <w:szCs w:val="20"/>
              </w:rPr>
              <w:instrText>MERGEFIELD SIGNATURE_0_0_FIRSTNAME \* MERGEFORMAT</w:instrText>
            </w:r>
            <w:r>
              <w:rPr>
                <w:b/>
                <w:color w:val="000000"/>
                <w:szCs w:val="20"/>
              </w:rPr>
              <w:fldChar w:fldCharType="separate"/>
            </w:r>
            <w:r>
              <w:rPr>
                <w:b/>
                <w:color w:val="000000"/>
                <w:szCs w:val="20"/>
              </w:rPr>
              <w:t>Mariusz</w:t>
            </w:r>
            <w:r>
              <w:rPr>
                <w:b/>
                <w:color w:val="000000"/>
                <w:szCs w:val="20"/>
              </w:rPr>
              <w:fldChar w:fldCharType="end"/>
            </w:r>
            <w:r>
              <w:rPr>
                <w:b/>
                <w:color w:val="000000"/>
                <w:szCs w:val="20"/>
              </w:rPr>
              <w:t> </w:t>
            </w:r>
            <w:r>
              <w:rPr>
                <w:b/>
                <w:color w:val="000000"/>
                <w:szCs w:val="20"/>
              </w:rPr>
              <w:fldChar w:fldCharType="begin"/>
            </w:r>
            <w:r>
              <w:rPr>
                <w:b/>
                <w:color w:val="000000"/>
                <w:szCs w:val="20"/>
              </w:rPr>
              <w:instrText>MERGEFIELD SIGNATURE_0_0_LASTNAME \* MERGEFORMAT</w:instrText>
            </w:r>
            <w:r>
              <w:rPr>
                <w:b/>
                <w:color w:val="000000"/>
                <w:szCs w:val="20"/>
              </w:rPr>
              <w:fldChar w:fldCharType="separate"/>
            </w:r>
            <w:r>
              <w:rPr>
                <w:b/>
                <w:color w:val="000000"/>
                <w:szCs w:val="20"/>
              </w:rPr>
              <w:t>Piotrkowski</w:t>
            </w:r>
            <w:r>
              <w:rPr>
                <w:b/>
                <w:color w:val="000000"/>
                <w:szCs w:val="20"/>
              </w:rPr>
              <w:fldChar w:fldCharType="end"/>
            </w:r>
            <w:r>
              <w:rPr>
                <w:b/>
                <w:color w:val="000000"/>
                <w:szCs w:val="20"/>
              </w:rPr>
              <w:t> </w:t>
            </w:r>
          </w:p>
        </w:tc>
      </w:tr>
    </w:tbl>
    <w:p>
      <w:pPr>
        <w:keepNext/>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DE401F87-2032-447B-B293-42CD16036AFD.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DE401F87-2032-447B-B293-42CD16036AFD.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0050.1.171.2022 z dnia 1 września 2022 r.</dc:title>
  <dc:subject>w sprawie powołania komisji przetargowej do przeprowadzenia postępowania o^udzielenie zamówienia w^trybie podstawowym na Świadczenie usług pocztowych w^obrocie krajowym i^zagranicznym dla Gminy Szubin w^latach 2023-2026.</dc:subject>
  <dc:creator>RenataK</dc:creator>
  <cp:lastModifiedBy>RenataK</cp:lastModifiedBy>
  <cp:revision>1</cp:revision>
  <dcterms:created xsi:type="dcterms:W3CDTF">2022-09-02T08:23:02Z</dcterms:created>
  <dcterms:modified xsi:type="dcterms:W3CDTF">2022-09-02T08:23:02Z</dcterms:modified>
  <cp:category>Akt prawny</cp:category>
</cp:coreProperties>
</file>