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zasad i wysokości opłat za zajęcie nieruchomości gruntowych stanowiących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1005,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1561)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0050.1.127.2020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opłat za zajęcie nieruchomości gruntowych stanowiących własność Gminy Szubin,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otrzymuje brzmienie: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rocznej -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do 30-go października każdego roku lub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innym terminie określonym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umowie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zarządzeniu nr 0050.1.127.2020 Burmistrza Szubina z dnia 22 lipca 2022 r. w sprawie zasad i wysokości opłat za zajęcie nieruchomości gruntowych stanowiących własność Gminy Szubin w § 8 ust. 1 pkt 2 dotyczącym terminu wnoszenia opłaty rocznej z tytułu trwałego zajęcia nieruchomości dodano zapis "lub w innym terminie określonym w umowie".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0050.1.205.2022 z dnia 27 października 2022 r.</dc:title>
  <dc:subject>zmieniające zarządzenie w^sprawie zasad i^wysokości opłat za zajęcie nieruchomości gruntowych stanowiących własność Gminy Szubin.</dc:subject>
  <dc:creator>RenataK</dc:creator>
  <cp:lastModifiedBy>RenataK</cp:lastModifiedBy>
  <cp:revision>1</cp:revision>
  <dcterms:created xsi:type="dcterms:W3CDTF">2022-10-27T14:19:31Z</dcterms:created>
  <dcterms:modified xsi:type="dcterms:W3CDTF">2022-10-27T14:19:31Z</dcterms:modified>
  <cp:category>Akt prawny</cp:category>
</cp:coreProperties>
</file>